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282" w:rsidRDefault="00E47282" w:rsidP="00E47282">
      <w:pPr>
        <w:spacing w:line="240" w:lineRule="auto"/>
        <w:ind w:firstLineChars="0" w:firstLine="198"/>
        <w:jc w:val="center"/>
        <w:rPr>
          <w:rFonts w:cs="Times New Roman"/>
          <w:sz w:val="44"/>
        </w:rPr>
      </w:pPr>
    </w:p>
    <w:p w:rsidR="00E47282" w:rsidRDefault="00E47282" w:rsidP="00E47282">
      <w:pPr>
        <w:spacing w:line="240" w:lineRule="auto"/>
        <w:ind w:firstLineChars="0" w:firstLine="198"/>
        <w:jc w:val="center"/>
        <w:rPr>
          <w:rFonts w:cs="Times New Roman"/>
          <w:sz w:val="44"/>
        </w:rPr>
      </w:pPr>
      <w:r>
        <w:rPr>
          <w:rFonts w:cs="Times New Roman" w:hint="eastAsia"/>
          <w:sz w:val="44"/>
        </w:rPr>
        <w:t>天津君恒投资有限公司东丽建材</w:t>
      </w:r>
      <w:r>
        <w:rPr>
          <w:rFonts w:cs="Times New Roman"/>
          <w:sz w:val="44"/>
        </w:rPr>
        <w:t>D</w:t>
      </w:r>
      <w:r>
        <w:rPr>
          <w:rFonts w:cs="Times New Roman" w:hint="eastAsia"/>
          <w:sz w:val="44"/>
        </w:rPr>
        <w:t>地块项目（变更）固体废物污染防治设施</w:t>
      </w:r>
    </w:p>
    <w:p w:rsidR="00E47282" w:rsidRDefault="00E47282" w:rsidP="00E47282">
      <w:pPr>
        <w:spacing w:line="240" w:lineRule="auto"/>
        <w:ind w:firstLineChars="0" w:firstLine="198"/>
        <w:jc w:val="center"/>
        <w:rPr>
          <w:rFonts w:cs="Times New Roman"/>
          <w:sz w:val="44"/>
        </w:rPr>
      </w:pPr>
      <w:r>
        <w:rPr>
          <w:rFonts w:cs="Times New Roman" w:hint="eastAsia"/>
          <w:sz w:val="44"/>
        </w:rPr>
        <w:t>竣工环境保护验收监测报告</w:t>
      </w:r>
    </w:p>
    <w:p w:rsidR="00E47282" w:rsidRDefault="00E47282" w:rsidP="00E47282">
      <w:pPr>
        <w:spacing w:line="240" w:lineRule="auto"/>
        <w:ind w:firstLineChars="0" w:firstLine="198"/>
        <w:jc w:val="center"/>
        <w:rPr>
          <w:rFonts w:cs="Times New Roman"/>
          <w:sz w:val="44"/>
        </w:rPr>
      </w:pPr>
    </w:p>
    <w:p w:rsidR="006356AB" w:rsidRDefault="006356AB" w:rsidP="00E47282">
      <w:pPr>
        <w:spacing w:after="2141"/>
        <w:ind w:firstLineChars="0" w:firstLine="0"/>
        <w:jc w:val="center"/>
        <w:rPr>
          <w:rFonts w:cs="Times New Roman" w:hint="eastAsia"/>
        </w:rPr>
      </w:pPr>
    </w:p>
    <w:p w:rsidR="006356AB" w:rsidRDefault="006356AB" w:rsidP="00E47282">
      <w:pPr>
        <w:spacing w:after="2141"/>
        <w:ind w:firstLineChars="0" w:firstLine="0"/>
        <w:jc w:val="center"/>
        <w:rPr>
          <w:rFonts w:cs="Times New Roman" w:hint="eastAsia"/>
        </w:rPr>
      </w:pPr>
    </w:p>
    <w:p w:rsidR="00E47282" w:rsidRDefault="00E47282" w:rsidP="00E47282">
      <w:pPr>
        <w:spacing w:after="2141"/>
        <w:ind w:firstLineChars="0" w:firstLine="0"/>
        <w:jc w:val="center"/>
        <w:rPr>
          <w:rFonts w:cs="Times New Roman"/>
        </w:rPr>
      </w:pPr>
    </w:p>
    <w:p w:rsidR="00E47282" w:rsidRDefault="00E47282" w:rsidP="00E47282">
      <w:pPr>
        <w:ind w:right="6" w:firstLineChars="0" w:firstLine="0"/>
        <w:jc w:val="center"/>
        <w:rPr>
          <w:rFonts w:cs="Times New Roman"/>
          <w:b/>
          <w:sz w:val="32"/>
        </w:rPr>
      </w:pPr>
      <w:r>
        <w:rPr>
          <w:rFonts w:cs="Times New Roman" w:hint="eastAsia"/>
          <w:b/>
          <w:sz w:val="32"/>
        </w:rPr>
        <w:t>天津君恒投资有限公司</w:t>
      </w:r>
    </w:p>
    <w:p w:rsidR="00E47282" w:rsidRDefault="00E47282" w:rsidP="00E47282">
      <w:pPr>
        <w:ind w:firstLine="643"/>
        <w:jc w:val="center"/>
        <w:rPr>
          <w:rFonts w:cs="Times New Roman"/>
          <w:b/>
          <w:color w:val="auto"/>
          <w:kern w:val="0"/>
          <w:sz w:val="32"/>
        </w:rPr>
      </w:pPr>
      <w:r>
        <w:rPr>
          <w:rFonts w:eastAsia="Times New Roman" w:cs="Times New Roman"/>
          <w:b/>
          <w:color w:val="auto"/>
          <w:kern w:val="0"/>
          <w:sz w:val="32"/>
        </w:rPr>
        <w:t>2018</w:t>
      </w:r>
      <w:r>
        <w:rPr>
          <w:rFonts w:cs="Times New Roman" w:hint="eastAsia"/>
          <w:b/>
          <w:color w:val="auto"/>
          <w:kern w:val="0"/>
          <w:sz w:val="32"/>
        </w:rPr>
        <w:t>年</w:t>
      </w:r>
      <w:r>
        <w:rPr>
          <w:rFonts w:cs="Times New Roman"/>
          <w:b/>
          <w:color w:val="auto"/>
          <w:kern w:val="0"/>
          <w:sz w:val="32"/>
        </w:rPr>
        <w:t>6</w:t>
      </w:r>
      <w:r>
        <w:rPr>
          <w:rFonts w:cs="Times New Roman" w:hint="eastAsia"/>
          <w:b/>
          <w:color w:val="auto"/>
          <w:kern w:val="0"/>
          <w:sz w:val="32"/>
        </w:rPr>
        <w:t>月</w:t>
      </w:r>
    </w:p>
    <w:p w:rsidR="00E47282" w:rsidRPr="00E47282" w:rsidRDefault="00E47282" w:rsidP="00E47282">
      <w:pPr>
        <w:ind w:firstLineChars="0" w:firstLine="0"/>
        <w:rPr>
          <w:rFonts w:ascii="仿宋_GB2312" w:eastAsia="仿宋_GB2312" w:cs="Times New Roman"/>
          <w:sz w:val="32"/>
          <w:szCs w:val="20"/>
        </w:rPr>
      </w:pPr>
      <w:r>
        <w:rPr>
          <w:rFonts w:cs="Times New Roman"/>
          <w:b/>
          <w:color w:val="auto"/>
          <w:kern w:val="0"/>
          <w:sz w:val="32"/>
        </w:rPr>
        <w:br w:type="page"/>
      </w:r>
      <w:r w:rsidRPr="00E47282">
        <w:rPr>
          <w:rFonts w:ascii="仿宋_GB2312" w:eastAsia="仿宋_GB2312" w:cs="Times New Roman" w:hint="eastAsia"/>
          <w:b/>
          <w:sz w:val="28"/>
          <w:szCs w:val="20"/>
        </w:rPr>
        <w:lastRenderedPageBreak/>
        <w:t>建设单位法人代表:</w:t>
      </w:r>
      <w:r w:rsidRPr="00E47282">
        <w:rPr>
          <w:rFonts w:ascii="仿宋_GB2312" w:eastAsia="仿宋_GB2312" w:cs="Times New Roman" w:hint="eastAsia"/>
          <w:sz w:val="28"/>
          <w:szCs w:val="20"/>
        </w:rPr>
        <w:tab/>
        <w:t xml:space="preserve">          （签字）</w:t>
      </w:r>
    </w:p>
    <w:p w:rsidR="00E47282" w:rsidRPr="00E47282" w:rsidRDefault="00E47282" w:rsidP="00E47282">
      <w:pPr>
        <w:widowControl w:val="0"/>
        <w:ind w:firstLineChars="0" w:firstLine="0"/>
        <w:jc w:val="both"/>
        <w:rPr>
          <w:rFonts w:ascii="仿宋_GB2312" w:eastAsia="仿宋_GB2312" w:cs="Times New Roman"/>
          <w:sz w:val="28"/>
          <w:szCs w:val="20"/>
        </w:rPr>
      </w:pPr>
      <w:r w:rsidRPr="00E47282">
        <w:rPr>
          <w:rFonts w:ascii="仿宋_GB2312" w:eastAsia="仿宋_GB2312" w:cs="Times New Roman" w:hint="eastAsia"/>
          <w:b/>
          <w:sz w:val="28"/>
          <w:szCs w:val="20"/>
        </w:rPr>
        <w:t>编制单位法人代表:</w:t>
      </w:r>
      <w:r w:rsidRPr="00E47282">
        <w:rPr>
          <w:rFonts w:ascii="仿宋_GB2312" w:eastAsia="仿宋_GB2312" w:cs="Times New Roman" w:hint="eastAsia"/>
          <w:sz w:val="28"/>
          <w:szCs w:val="20"/>
        </w:rPr>
        <w:tab/>
        <w:t xml:space="preserve">          （签字）</w:t>
      </w:r>
    </w:p>
    <w:p w:rsidR="00E47282" w:rsidRPr="00E47282" w:rsidRDefault="00E47282" w:rsidP="00E47282">
      <w:pPr>
        <w:widowControl w:val="0"/>
        <w:ind w:firstLineChars="0" w:firstLine="0"/>
        <w:jc w:val="both"/>
        <w:rPr>
          <w:rFonts w:ascii="仿宋_GB2312" w:eastAsia="仿宋_GB2312" w:cs="Times New Roman"/>
          <w:b/>
          <w:spacing w:val="2"/>
          <w:w w:val="79"/>
          <w:sz w:val="28"/>
          <w:szCs w:val="20"/>
        </w:rPr>
      </w:pPr>
      <w:r w:rsidRPr="00E47282">
        <w:rPr>
          <w:rFonts w:ascii="仿宋_GB2312" w:eastAsia="仿宋_GB2312" w:cs="Times New Roman" w:hint="eastAsia"/>
          <w:b/>
          <w:spacing w:val="10"/>
          <w:w w:val="79"/>
          <w:sz w:val="28"/>
          <w:szCs w:val="20"/>
        </w:rPr>
        <w:t>项  目  负  责  人</w:t>
      </w:r>
      <w:r w:rsidRPr="00E47282">
        <w:rPr>
          <w:rFonts w:ascii="仿宋_GB2312" w:eastAsia="仿宋_GB2312" w:cs="Times New Roman" w:hint="eastAsia"/>
          <w:b/>
          <w:spacing w:val="7"/>
          <w:w w:val="79"/>
          <w:sz w:val="28"/>
          <w:szCs w:val="20"/>
        </w:rPr>
        <w:t>:</w:t>
      </w:r>
      <w:r w:rsidRPr="00E47282">
        <w:rPr>
          <w:rFonts w:ascii="宋体" w:hAnsi="宋体" w:cs="Times New Roman" w:hint="eastAsia"/>
          <w:color w:val="auto"/>
          <w:szCs w:val="24"/>
        </w:rPr>
        <w:t xml:space="preserve"> 王智刚</w:t>
      </w:r>
    </w:p>
    <w:p w:rsidR="00E47282" w:rsidRPr="00E47282" w:rsidRDefault="00E47282" w:rsidP="00E47282">
      <w:pPr>
        <w:widowControl w:val="0"/>
        <w:ind w:firstLineChars="0" w:firstLine="0"/>
        <w:jc w:val="both"/>
        <w:rPr>
          <w:rFonts w:ascii="宋体" w:hAnsi="宋体" w:cs="Times New Roman"/>
          <w:color w:val="auto"/>
          <w:szCs w:val="24"/>
        </w:rPr>
      </w:pPr>
      <w:r w:rsidRPr="00E47282">
        <w:rPr>
          <w:rFonts w:ascii="仿宋_GB2312" w:eastAsia="仿宋_GB2312" w:cs="Times New Roman" w:hint="eastAsia"/>
          <w:b/>
          <w:spacing w:val="2"/>
          <w:w w:val="79"/>
          <w:sz w:val="28"/>
          <w:szCs w:val="20"/>
        </w:rPr>
        <w:t>报  告  编  写  人：</w:t>
      </w:r>
      <w:r w:rsidRPr="00E47282">
        <w:rPr>
          <w:rFonts w:ascii="宋体" w:hAnsi="宋体" w:cs="Times New Roman" w:hint="eastAsia"/>
          <w:color w:val="auto"/>
          <w:szCs w:val="24"/>
        </w:rPr>
        <w:t>王智刚、冯紫君</w:t>
      </w: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p w:rsidR="00E47282" w:rsidRPr="00E47282" w:rsidRDefault="00E47282" w:rsidP="00E47282">
      <w:pPr>
        <w:widowControl w:val="0"/>
        <w:ind w:firstLineChars="0" w:firstLine="0"/>
        <w:jc w:val="both"/>
        <w:rPr>
          <w:rFonts w:ascii="宋体" w:hAnsi="宋体" w:cs="Times New Roman"/>
          <w:color w:val="auto"/>
          <w:szCs w:val="24"/>
        </w:rPr>
      </w:pPr>
    </w:p>
    <w:tbl>
      <w:tblPr>
        <w:tblW w:w="5000" w:type="pct"/>
        <w:jc w:val="center"/>
        <w:tblLook w:val="04A0"/>
      </w:tblPr>
      <w:tblGrid>
        <w:gridCol w:w="4261"/>
        <w:gridCol w:w="4261"/>
      </w:tblGrid>
      <w:tr w:rsidR="00E47282" w:rsidRPr="00E47282" w:rsidTr="00E47282">
        <w:trPr>
          <w:trHeight w:val="823"/>
          <w:jc w:val="center"/>
        </w:trPr>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建设单位：天津君恒投资有限公司</w:t>
            </w:r>
            <w:bookmarkStart w:id="0" w:name="_GoBack"/>
            <w:bookmarkEnd w:id="0"/>
          </w:p>
        </w:tc>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编制单位：深圳市环新环保技术有限公司天津西青分公司</w:t>
            </w:r>
            <w:r w:rsidRPr="00E47282">
              <w:rPr>
                <w:rFonts w:cs="Times New Roman"/>
                <w:color w:val="auto"/>
                <w:kern w:val="0"/>
                <w:szCs w:val="24"/>
              </w:rPr>
              <w:t xml:space="preserve"> </w:t>
            </w:r>
          </w:p>
        </w:tc>
      </w:tr>
      <w:tr w:rsidR="00E47282" w:rsidRPr="00E47282" w:rsidTr="00E47282">
        <w:trPr>
          <w:trHeight w:val="470"/>
          <w:jc w:val="center"/>
        </w:trPr>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电话：</w:t>
            </w:r>
            <w:r w:rsidRPr="00E47282">
              <w:rPr>
                <w:rFonts w:cs="Times New Roman"/>
                <w:color w:val="auto"/>
                <w:kern w:val="0"/>
                <w:szCs w:val="24"/>
              </w:rPr>
              <w:t>15822355632</w:t>
            </w:r>
          </w:p>
        </w:tc>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电话：</w:t>
            </w:r>
            <w:r w:rsidRPr="00E47282">
              <w:rPr>
                <w:rFonts w:cs="Times New Roman"/>
                <w:color w:val="auto"/>
                <w:kern w:val="0"/>
                <w:szCs w:val="24"/>
              </w:rPr>
              <w:t>13802113531</w:t>
            </w:r>
          </w:p>
        </w:tc>
      </w:tr>
      <w:tr w:rsidR="00E47282" w:rsidRPr="00E47282" w:rsidTr="00E47282">
        <w:trPr>
          <w:trHeight w:val="470"/>
          <w:jc w:val="center"/>
        </w:trPr>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邮编：</w:t>
            </w:r>
            <w:r w:rsidRPr="00E47282">
              <w:rPr>
                <w:rFonts w:cs="Times New Roman"/>
                <w:color w:val="auto"/>
                <w:kern w:val="0"/>
                <w:szCs w:val="24"/>
              </w:rPr>
              <w:t>300221</w:t>
            </w:r>
          </w:p>
        </w:tc>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邮编：</w:t>
            </w:r>
            <w:r w:rsidRPr="00E47282">
              <w:rPr>
                <w:rFonts w:cs="Times New Roman"/>
                <w:color w:val="auto"/>
                <w:kern w:val="0"/>
                <w:szCs w:val="24"/>
              </w:rPr>
              <w:t>300384</w:t>
            </w:r>
          </w:p>
        </w:tc>
      </w:tr>
      <w:tr w:rsidR="00E47282" w:rsidRPr="00E47282" w:rsidTr="00E47282">
        <w:trPr>
          <w:trHeight w:val="470"/>
          <w:jc w:val="center"/>
        </w:trPr>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地址：天津市西青区友谊南路梅江中心大厦</w:t>
            </w:r>
            <w:r w:rsidRPr="00E47282">
              <w:rPr>
                <w:rFonts w:cs="Times New Roman"/>
                <w:color w:val="auto"/>
                <w:kern w:val="0"/>
                <w:szCs w:val="24"/>
              </w:rPr>
              <w:t>19F</w:t>
            </w:r>
          </w:p>
        </w:tc>
        <w:tc>
          <w:tcPr>
            <w:tcW w:w="2500" w:type="pct"/>
            <w:hideMark/>
          </w:tcPr>
          <w:p w:rsidR="00E47282" w:rsidRPr="00E47282" w:rsidRDefault="00E47282" w:rsidP="00E47282">
            <w:pPr>
              <w:adjustRightInd w:val="0"/>
              <w:snapToGrid w:val="0"/>
              <w:spacing w:line="240" w:lineRule="auto"/>
              <w:ind w:firstLineChars="0" w:firstLine="0"/>
              <w:rPr>
                <w:rFonts w:cs="Times New Roman"/>
                <w:color w:val="auto"/>
                <w:kern w:val="0"/>
                <w:szCs w:val="24"/>
              </w:rPr>
            </w:pPr>
            <w:r w:rsidRPr="00E47282">
              <w:rPr>
                <w:rFonts w:cs="Times New Roman" w:hint="eastAsia"/>
                <w:color w:val="auto"/>
                <w:kern w:val="0"/>
                <w:szCs w:val="24"/>
              </w:rPr>
              <w:t>地址：天津市西青区海泰信息广场</w:t>
            </w:r>
            <w:r w:rsidRPr="00E47282">
              <w:rPr>
                <w:rFonts w:cs="Times New Roman"/>
                <w:color w:val="auto"/>
                <w:kern w:val="0"/>
                <w:szCs w:val="24"/>
              </w:rPr>
              <w:t>B</w:t>
            </w:r>
            <w:r w:rsidRPr="00E47282">
              <w:rPr>
                <w:rFonts w:cs="Times New Roman" w:hint="eastAsia"/>
                <w:color w:val="auto"/>
                <w:kern w:val="0"/>
                <w:szCs w:val="24"/>
              </w:rPr>
              <w:t>座</w:t>
            </w:r>
            <w:r w:rsidRPr="00E47282">
              <w:rPr>
                <w:rFonts w:cs="Times New Roman"/>
                <w:color w:val="auto"/>
                <w:kern w:val="0"/>
                <w:szCs w:val="24"/>
              </w:rPr>
              <w:t>502</w:t>
            </w:r>
          </w:p>
        </w:tc>
      </w:tr>
    </w:tbl>
    <w:p w:rsidR="00E47282" w:rsidRDefault="00E47282" w:rsidP="008A6A9D">
      <w:pPr>
        <w:ind w:firstLine="482"/>
        <w:jc w:val="center"/>
        <w:rPr>
          <w:rFonts w:eastAsia="楷体" w:hAnsi="楷体" w:cs="Times New Roman"/>
          <w:b/>
          <w:szCs w:val="24"/>
        </w:rPr>
        <w:sectPr w:rsidR="00E4728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326"/>
        </w:sectPr>
      </w:pPr>
    </w:p>
    <w:p w:rsidR="003E2173" w:rsidRPr="008A6A9D" w:rsidRDefault="00C13EC2" w:rsidP="008A6A9D">
      <w:pPr>
        <w:ind w:firstLine="482"/>
        <w:jc w:val="center"/>
        <w:rPr>
          <w:rFonts w:eastAsia="楷体" w:cs="Times New Roman"/>
          <w:b/>
          <w:szCs w:val="24"/>
        </w:rPr>
      </w:pPr>
      <w:r w:rsidRPr="00C13EC2">
        <w:rPr>
          <w:rFonts w:eastAsia="楷体" w:hAnsi="楷体" w:cs="Times New Roman" w:hint="eastAsia"/>
          <w:b/>
          <w:szCs w:val="24"/>
        </w:rPr>
        <w:lastRenderedPageBreak/>
        <w:t>目录</w:t>
      </w:r>
    </w:p>
    <w:p w:rsidR="00166053" w:rsidRPr="003C1C74" w:rsidRDefault="00E65839">
      <w:pPr>
        <w:pStyle w:val="10"/>
        <w:tabs>
          <w:tab w:val="right" w:leader="dot" w:pos="8296"/>
        </w:tabs>
        <w:ind w:firstLine="480"/>
        <w:rPr>
          <w:rFonts w:ascii="Times New Roman" w:eastAsia="楷体" w:hAnsi="Times New Roman" w:cstheme="minorBidi"/>
          <w:b w:val="0"/>
          <w:bCs w:val="0"/>
          <w:caps w:val="0"/>
          <w:noProof/>
          <w:color w:val="auto"/>
          <w:sz w:val="24"/>
          <w:szCs w:val="22"/>
        </w:rPr>
      </w:pPr>
      <w:r w:rsidRPr="00E65839">
        <w:rPr>
          <w:rFonts w:ascii="Times New Roman" w:eastAsia="楷体" w:hAnsi="Times New Roman" w:cs="Times New Roman" w:hint="eastAsia"/>
          <w:b w:val="0"/>
          <w:sz w:val="24"/>
          <w:szCs w:val="24"/>
        </w:rPr>
        <w:fldChar w:fldCharType="begin"/>
      </w:r>
      <w:r w:rsidR="00C13EC2" w:rsidRPr="00C13EC2">
        <w:rPr>
          <w:rFonts w:ascii="Times New Roman" w:eastAsia="楷体" w:hAnsi="Times New Roman" w:cs="Times New Roman"/>
          <w:b w:val="0"/>
          <w:sz w:val="24"/>
          <w:szCs w:val="24"/>
        </w:rPr>
        <w:instrText xml:space="preserve"> TOC \o "1-1" \h \z \u </w:instrText>
      </w:r>
      <w:r w:rsidRPr="00E65839">
        <w:rPr>
          <w:rFonts w:ascii="Times New Roman" w:eastAsia="楷体" w:hAnsi="Times New Roman" w:cs="Times New Roman" w:hint="eastAsia"/>
          <w:b w:val="0"/>
          <w:sz w:val="24"/>
          <w:szCs w:val="24"/>
        </w:rPr>
        <w:fldChar w:fldCharType="separate"/>
      </w:r>
      <w:hyperlink w:anchor="_Toc523513189" w:history="1">
        <w:r w:rsidR="00166053" w:rsidRPr="003C1C74">
          <w:rPr>
            <w:rStyle w:val="aa"/>
            <w:rFonts w:ascii="Times New Roman" w:eastAsia="楷体" w:hAnsi="Times New Roman"/>
            <w:b w:val="0"/>
            <w:noProof/>
            <w:sz w:val="24"/>
          </w:rPr>
          <w:t>1</w:t>
        </w:r>
        <w:r w:rsidR="00166053" w:rsidRPr="003C1C74">
          <w:rPr>
            <w:rStyle w:val="aa"/>
            <w:rFonts w:ascii="Times New Roman" w:eastAsia="楷体" w:hAnsi="Times New Roman"/>
            <w:b w:val="0"/>
            <w:noProof/>
            <w:sz w:val="24"/>
          </w:rPr>
          <w:t>、验收项目概况</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_Toc523513189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1</w:t>
        </w:r>
        <w:r w:rsidRPr="003C1C74">
          <w:rPr>
            <w:rFonts w:ascii="Times New Roman" w:eastAsia="楷体" w:hAnsi="Times New Roman"/>
            <w:b w:val="0"/>
            <w:noProof/>
            <w:webHidden/>
            <w:sz w:val="24"/>
          </w:rPr>
          <w:fldChar w:fldCharType="end"/>
        </w:r>
      </w:hyperlink>
    </w:p>
    <w:p w:rsidR="00166053" w:rsidRPr="003C1C74" w:rsidRDefault="00E65839">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3190" w:history="1">
        <w:r w:rsidR="00166053" w:rsidRPr="003C1C74">
          <w:rPr>
            <w:rStyle w:val="aa"/>
            <w:rFonts w:ascii="Times New Roman" w:eastAsia="楷体" w:hAnsi="Times New Roman"/>
            <w:b w:val="0"/>
            <w:noProof/>
            <w:sz w:val="24"/>
          </w:rPr>
          <w:t>2</w:t>
        </w:r>
        <w:r w:rsidR="00166053" w:rsidRPr="003C1C74">
          <w:rPr>
            <w:rStyle w:val="aa"/>
            <w:rFonts w:ascii="Times New Roman" w:eastAsia="楷体" w:hAnsi="Times New Roman"/>
            <w:b w:val="0"/>
            <w:noProof/>
            <w:sz w:val="24"/>
          </w:rPr>
          <w:t>、验收监测依据</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_Toc523513190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2</w:t>
        </w:r>
        <w:r w:rsidRPr="003C1C74">
          <w:rPr>
            <w:rFonts w:ascii="Times New Roman" w:eastAsia="楷体" w:hAnsi="Times New Roman"/>
            <w:b w:val="0"/>
            <w:noProof/>
            <w:webHidden/>
            <w:sz w:val="24"/>
          </w:rPr>
          <w:fldChar w:fldCharType="end"/>
        </w:r>
      </w:hyperlink>
    </w:p>
    <w:p w:rsidR="00166053" w:rsidRPr="003C1C74" w:rsidRDefault="00E65839">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3191" w:history="1">
        <w:r w:rsidR="00166053" w:rsidRPr="003C1C74">
          <w:rPr>
            <w:rStyle w:val="aa"/>
            <w:rFonts w:ascii="Times New Roman" w:eastAsia="楷体" w:hAnsi="Times New Roman"/>
            <w:b w:val="0"/>
            <w:noProof/>
            <w:sz w:val="24"/>
          </w:rPr>
          <w:t>3</w:t>
        </w:r>
        <w:r w:rsidR="00166053" w:rsidRPr="003C1C74">
          <w:rPr>
            <w:rStyle w:val="aa"/>
            <w:rFonts w:ascii="Times New Roman" w:eastAsia="楷体" w:hAnsi="Times New Roman"/>
            <w:b w:val="0"/>
            <w:noProof/>
            <w:sz w:val="24"/>
          </w:rPr>
          <w:t>、工程建设情况</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_Toc523513191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3</w:t>
        </w:r>
        <w:r w:rsidRPr="003C1C74">
          <w:rPr>
            <w:rFonts w:ascii="Times New Roman" w:eastAsia="楷体" w:hAnsi="Times New Roman"/>
            <w:b w:val="0"/>
            <w:noProof/>
            <w:webHidden/>
            <w:sz w:val="24"/>
          </w:rPr>
          <w:fldChar w:fldCharType="end"/>
        </w:r>
      </w:hyperlink>
    </w:p>
    <w:p w:rsidR="00166053" w:rsidRPr="003C1C74" w:rsidRDefault="00E65839">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3192" w:history="1">
        <w:r w:rsidR="00166053" w:rsidRPr="003C1C74">
          <w:rPr>
            <w:rStyle w:val="aa"/>
            <w:rFonts w:ascii="Times New Roman" w:eastAsia="楷体" w:hAnsi="Times New Roman"/>
            <w:b w:val="0"/>
            <w:noProof/>
            <w:sz w:val="24"/>
          </w:rPr>
          <w:t>4</w:t>
        </w:r>
        <w:r w:rsidR="00166053" w:rsidRPr="003C1C74">
          <w:rPr>
            <w:rStyle w:val="aa"/>
            <w:rFonts w:ascii="Times New Roman" w:eastAsia="楷体" w:hAnsi="Times New Roman"/>
            <w:b w:val="0"/>
            <w:noProof/>
            <w:sz w:val="24"/>
          </w:rPr>
          <w:t>、主要污染物分析及污染防治措施</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_Toc523513192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7</w:t>
        </w:r>
        <w:r w:rsidRPr="003C1C74">
          <w:rPr>
            <w:rFonts w:ascii="Times New Roman" w:eastAsia="楷体" w:hAnsi="Times New Roman"/>
            <w:b w:val="0"/>
            <w:noProof/>
            <w:webHidden/>
            <w:sz w:val="24"/>
          </w:rPr>
          <w:fldChar w:fldCharType="end"/>
        </w:r>
      </w:hyperlink>
    </w:p>
    <w:p w:rsidR="00166053" w:rsidRPr="003C1C74" w:rsidRDefault="00E65839">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3193" w:history="1">
        <w:r w:rsidR="00166053" w:rsidRPr="003C1C74">
          <w:rPr>
            <w:rStyle w:val="aa"/>
            <w:rFonts w:ascii="Times New Roman" w:eastAsia="楷体" w:hAnsi="Times New Roman"/>
            <w:b w:val="0"/>
            <w:noProof/>
            <w:sz w:val="24"/>
          </w:rPr>
          <w:t>5</w:t>
        </w:r>
        <w:r w:rsidR="00166053" w:rsidRPr="003C1C74">
          <w:rPr>
            <w:rStyle w:val="aa"/>
            <w:rFonts w:ascii="Times New Roman" w:eastAsia="楷体" w:hAnsi="Times New Roman"/>
            <w:b w:val="0"/>
            <w:noProof/>
            <w:sz w:val="24"/>
          </w:rPr>
          <w:t>、环评文件、环评批复回顾</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_Toc523513193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8</w:t>
        </w:r>
        <w:r w:rsidRPr="003C1C74">
          <w:rPr>
            <w:rFonts w:ascii="Times New Roman" w:eastAsia="楷体" w:hAnsi="Times New Roman"/>
            <w:b w:val="0"/>
            <w:noProof/>
            <w:webHidden/>
            <w:sz w:val="24"/>
          </w:rPr>
          <w:fldChar w:fldCharType="end"/>
        </w:r>
      </w:hyperlink>
    </w:p>
    <w:p w:rsidR="00166053" w:rsidRPr="003C1C74" w:rsidRDefault="00E65839">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3194" w:history="1">
        <w:r w:rsidR="00166053" w:rsidRPr="003C1C74">
          <w:rPr>
            <w:rStyle w:val="aa"/>
            <w:rFonts w:ascii="Times New Roman" w:eastAsia="楷体" w:hAnsi="Times New Roman"/>
            <w:b w:val="0"/>
            <w:noProof/>
            <w:sz w:val="24"/>
          </w:rPr>
          <w:t>6</w:t>
        </w:r>
        <w:r w:rsidR="00166053" w:rsidRPr="003C1C74">
          <w:rPr>
            <w:rStyle w:val="aa"/>
            <w:rFonts w:ascii="Times New Roman" w:eastAsia="楷体" w:hAnsi="Times New Roman"/>
            <w:b w:val="0"/>
            <w:noProof/>
            <w:sz w:val="24"/>
          </w:rPr>
          <w:t>、验收监测重点</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_Toc523513194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9</w:t>
        </w:r>
        <w:r w:rsidRPr="003C1C74">
          <w:rPr>
            <w:rFonts w:ascii="Times New Roman" w:eastAsia="楷体" w:hAnsi="Times New Roman"/>
            <w:b w:val="0"/>
            <w:noProof/>
            <w:webHidden/>
            <w:sz w:val="24"/>
          </w:rPr>
          <w:fldChar w:fldCharType="end"/>
        </w:r>
      </w:hyperlink>
    </w:p>
    <w:p w:rsidR="00166053" w:rsidRPr="003C1C74" w:rsidRDefault="00E65839">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3195" w:history="1">
        <w:r w:rsidR="00166053" w:rsidRPr="003C1C74">
          <w:rPr>
            <w:rStyle w:val="aa"/>
            <w:rFonts w:ascii="Times New Roman" w:eastAsia="楷体" w:hAnsi="Times New Roman"/>
            <w:b w:val="0"/>
            <w:noProof/>
            <w:sz w:val="24"/>
          </w:rPr>
          <w:t>7</w:t>
        </w:r>
        <w:r w:rsidR="00166053" w:rsidRPr="003C1C74">
          <w:rPr>
            <w:rStyle w:val="aa"/>
            <w:rFonts w:ascii="Times New Roman" w:eastAsia="楷体" w:hAnsi="Times New Roman"/>
            <w:b w:val="0"/>
            <w:noProof/>
            <w:sz w:val="24"/>
          </w:rPr>
          <w:t>、环境管理检查</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_Toc523513195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9</w:t>
        </w:r>
        <w:r w:rsidRPr="003C1C74">
          <w:rPr>
            <w:rFonts w:ascii="Times New Roman" w:eastAsia="楷体" w:hAnsi="Times New Roman"/>
            <w:b w:val="0"/>
            <w:noProof/>
            <w:webHidden/>
            <w:sz w:val="24"/>
          </w:rPr>
          <w:fldChar w:fldCharType="end"/>
        </w:r>
      </w:hyperlink>
    </w:p>
    <w:p w:rsidR="00166053" w:rsidRDefault="00E65839">
      <w:pPr>
        <w:pStyle w:val="10"/>
        <w:tabs>
          <w:tab w:val="right" w:leader="dot" w:pos="8296"/>
        </w:tabs>
        <w:ind w:firstLine="402"/>
        <w:rPr>
          <w:rFonts w:eastAsiaTheme="minorEastAsia" w:cstheme="minorBidi"/>
          <w:b w:val="0"/>
          <w:bCs w:val="0"/>
          <w:caps w:val="0"/>
          <w:noProof/>
          <w:color w:val="auto"/>
          <w:sz w:val="21"/>
          <w:szCs w:val="22"/>
        </w:rPr>
      </w:pPr>
      <w:hyperlink w:anchor="_Toc523513196" w:history="1">
        <w:r w:rsidR="00166053" w:rsidRPr="003C1C74">
          <w:rPr>
            <w:rStyle w:val="aa"/>
            <w:rFonts w:ascii="Times New Roman" w:eastAsia="楷体" w:hAnsi="Times New Roman"/>
            <w:b w:val="0"/>
            <w:noProof/>
            <w:sz w:val="24"/>
          </w:rPr>
          <w:t>8</w:t>
        </w:r>
        <w:r w:rsidR="00166053" w:rsidRPr="003C1C74">
          <w:rPr>
            <w:rStyle w:val="aa"/>
            <w:rFonts w:ascii="Times New Roman" w:eastAsia="楷体" w:hAnsi="Times New Roman"/>
            <w:b w:val="0"/>
            <w:noProof/>
            <w:sz w:val="24"/>
          </w:rPr>
          <w:t>、验收监测结论及下一步措施</w:t>
        </w:r>
        <w:r w:rsidR="00166053" w:rsidRPr="003C1C74">
          <w:rPr>
            <w:rFonts w:ascii="Times New Roman" w:eastAsia="楷体" w:hAnsi="Times New Roman"/>
            <w:b w:val="0"/>
            <w:noProof/>
            <w:webHidden/>
            <w:sz w:val="24"/>
          </w:rPr>
          <w:tab/>
        </w:r>
        <w:r w:rsidRPr="003C1C74">
          <w:rPr>
            <w:rFonts w:ascii="Times New Roman" w:eastAsia="楷体" w:hAnsi="Times New Roman"/>
            <w:b w:val="0"/>
            <w:noProof/>
            <w:webHidden/>
            <w:sz w:val="24"/>
          </w:rPr>
          <w:fldChar w:fldCharType="begin"/>
        </w:r>
        <w:r w:rsidR="00166053" w:rsidRPr="003C1C74">
          <w:rPr>
            <w:rFonts w:ascii="Times New Roman" w:eastAsia="楷体" w:hAnsi="Times New Roman"/>
            <w:b w:val="0"/>
            <w:noProof/>
            <w:webHidden/>
            <w:sz w:val="24"/>
          </w:rPr>
          <w:instrText xml:space="preserve"> PAGEREF _Toc523513196 \h </w:instrText>
        </w:r>
        <w:r w:rsidRPr="003C1C74">
          <w:rPr>
            <w:rFonts w:ascii="Times New Roman" w:eastAsia="楷体" w:hAnsi="Times New Roman"/>
            <w:b w:val="0"/>
            <w:noProof/>
            <w:webHidden/>
            <w:sz w:val="24"/>
          </w:rPr>
        </w:r>
        <w:r w:rsidRPr="003C1C74">
          <w:rPr>
            <w:rFonts w:ascii="Times New Roman" w:eastAsia="楷体" w:hAnsi="Times New Roman"/>
            <w:b w:val="0"/>
            <w:noProof/>
            <w:webHidden/>
            <w:sz w:val="24"/>
          </w:rPr>
          <w:fldChar w:fldCharType="separate"/>
        </w:r>
        <w:r w:rsidR="003C1C74">
          <w:rPr>
            <w:rFonts w:ascii="Times New Roman" w:eastAsia="楷体" w:hAnsi="Times New Roman"/>
            <w:b w:val="0"/>
            <w:noProof/>
            <w:webHidden/>
            <w:sz w:val="24"/>
          </w:rPr>
          <w:t>12</w:t>
        </w:r>
        <w:r w:rsidRPr="003C1C74">
          <w:rPr>
            <w:rFonts w:ascii="Times New Roman" w:eastAsia="楷体" w:hAnsi="Times New Roman"/>
            <w:b w:val="0"/>
            <w:noProof/>
            <w:webHidden/>
            <w:sz w:val="24"/>
          </w:rPr>
          <w:fldChar w:fldCharType="end"/>
        </w:r>
      </w:hyperlink>
    </w:p>
    <w:p w:rsidR="008C2830" w:rsidRDefault="00E65839">
      <w:pPr>
        <w:ind w:firstLine="480"/>
      </w:pPr>
      <w:r w:rsidRPr="00C13EC2">
        <w:rPr>
          <w:rFonts w:hint="eastAsia"/>
        </w:rPr>
        <w:fldChar w:fldCharType="end"/>
      </w:r>
    </w:p>
    <w:p w:rsidR="0083555F" w:rsidRPr="00E031B2" w:rsidRDefault="0083555F" w:rsidP="0083555F">
      <w:pPr>
        <w:ind w:firstLineChars="0" w:firstLine="0"/>
        <w:rPr>
          <w:rFonts w:cs="Times New Roman"/>
          <w:b/>
        </w:rPr>
      </w:pPr>
      <w:r w:rsidRPr="00E031B2">
        <w:rPr>
          <w:rFonts w:cs="Times New Roman"/>
          <w:b/>
        </w:rPr>
        <w:t>附图：</w:t>
      </w:r>
    </w:p>
    <w:p w:rsidR="0083555F" w:rsidRPr="00E031B2" w:rsidRDefault="0083555F" w:rsidP="0083555F">
      <w:pPr>
        <w:ind w:firstLineChars="0" w:firstLine="0"/>
        <w:rPr>
          <w:rFonts w:cs="Times New Roman"/>
        </w:rPr>
      </w:pPr>
      <w:r w:rsidRPr="00E031B2">
        <w:rPr>
          <w:rFonts w:cs="Times New Roman"/>
        </w:rPr>
        <w:t>附图</w:t>
      </w:r>
      <w:r w:rsidRPr="00E031B2">
        <w:rPr>
          <w:rFonts w:cs="Times New Roman"/>
        </w:rPr>
        <w:t>1</w:t>
      </w:r>
      <w:r w:rsidRPr="00E031B2">
        <w:rPr>
          <w:rFonts w:cs="Times New Roman"/>
        </w:rPr>
        <w:t>：</w:t>
      </w:r>
      <w:r>
        <w:rPr>
          <w:rFonts w:cs="Times New Roman"/>
        </w:rPr>
        <w:t>项目</w:t>
      </w:r>
      <w:r w:rsidRPr="00E031B2">
        <w:rPr>
          <w:rFonts w:cs="Times New Roman"/>
        </w:rPr>
        <w:t>地理位置图</w:t>
      </w:r>
    </w:p>
    <w:p w:rsidR="0083555F" w:rsidRPr="00E031B2" w:rsidRDefault="0083555F" w:rsidP="0083555F">
      <w:pPr>
        <w:ind w:firstLineChars="0" w:firstLine="0"/>
        <w:rPr>
          <w:rFonts w:cs="Times New Roman"/>
        </w:rPr>
      </w:pPr>
      <w:r w:rsidRPr="00E031B2">
        <w:rPr>
          <w:rFonts w:cs="Times New Roman"/>
        </w:rPr>
        <w:t>附图</w:t>
      </w:r>
      <w:r w:rsidRPr="00E031B2">
        <w:rPr>
          <w:rFonts w:cs="Times New Roman"/>
        </w:rPr>
        <w:t>2</w:t>
      </w:r>
      <w:r w:rsidRPr="00E031B2">
        <w:rPr>
          <w:rFonts w:cs="Times New Roman"/>
        </w:rPr>
        <w:t>：</w:t>
      </w:r>
      <w:r>
        <w:rPr>
          <w:rFonts w:cs="Times New Roman"/>
        </w:rPr>
        <w:t>项目</w:t>
      </w:r>
      <w:r w:rsidRPr="00E031B2">
        <w:rPr>
          <w:rFonts w:cs="Times New Roman"/>
        </w:rPr>
        <w:t>周边环境图</w:t>
      </w:r>
    </w:p>
    <w:p w:rsidR="0083555F" w:rsidRDefault="0083555F" w:rsidP="00893027">
      <w:pPr>
        <w:ind w:firstLineChars="0" w:firstLine="0"/>
        <w:rPr>
          <w:rFonts w:cs="Times New Roman"/>
          <w:color w:val="auto"/>
        </w:rPr>
      </w:pPr>
      <w:r w:rsidRPr="00E031B2">
        <w:rPr>
          <w:rFonts w:cs="Times New Roman"/>
        </w:rPr>
        <w:t>附图</w:t>
      </w:r>
      <w:r w:rsidRPr="00E031B2">
        <w:rPr>
          <w:rFonts w:cs="Times New Roman"/>
        </w:rPr>
        <w:t>3</w:t>
      </w:r>
      <w:r w:rsidRPr="00E031B2">
        <w:rPr>
          <w:rFonts w:cs="Times New Roman"/>
        </w:rPr>
        <w:t>：项</w:t>
      </w:r>
      <w:r w:rsidRPr="00E031B2">
        <w:rPr>
          <w:rFonts w:cs="Times New Roman"/>
          <w:color w:val="auto"/>
        </w:rPr>
        <w:t>目总平图</w:t>
      </w:r>
    </w:p>
    <w:p w:rsidR="00DA5C35" w:rsidRDefault="00DA5C35" w:rsidP="00893027">
      <w:pPr>
        <w:ind w:firstLineChars="0" w:firstLine="0"/>
        <w:rPr>
          <w:rFonts w:cs="Times New Roman"/>
          <w:color w:val="auto"/>
        </w:rPr>
      </w:pPr>
    </w:p>
    <w:p w:rsidR="00DA5C35" w:rsidRPr="00E031B2" w:rsidRDefault="00DA5C35" w:rsidP="00893027">
      <w:pPr>
        <w:ind w:firstLineChars="0" w:firstLine="0"/>
        <w:rPr>
          <w:rFonts w:cs="Times New Roman"/>
          <w:color w:val="auto"/>
        </w:rPr>
      </w:pPr>
    </w:p>
    <w:p w:rsidR="0083555F" w:rsidRPr="00E031B2" w:rsidRDefault="0083555F" w:rsidP="0083555F">
      <w:pPr>
        <w:ind w:firstLineChars="0" w:firstLine="0"/>
        <w:rPr>
          <w:rFonts w:cs="Times New Roman"/>
          <w:b/>
        </w:rPr>
      </w:pPr>
      <w:r w:rsidRPr="00E031B2">
        <w:rPr>
          <w:rFonts w:cs="Times New Roman"/>
          <w:b/>
        </w:rPr>
        <w:t>附件：</w:t>
      </w:r>
    </w:p>
    <w:p w:rsidR="0083555F" w:rsidRPr="00E031B2" w:rsidRDefault="0083555F" w:rsidP="0083555F">
      <w:pPr>
        <w:ind w:firstLineChars="0" w:firstLine="0"/>
        <w:rPr>
          <w:rFonts w:cs="Times New Roman"/>
        </w:rPr>
      </w:pPr>
      <w:r w:rsidRPr="00E031B2">
        <w:rPr>
          <w:rFonts w:cs="Times New Roman"/>
        </w:rPr>
        <w:t>附件</w:t>
      </w:r>
      <w:r w:rsidRPr="00E031B2">
        <w:rPr>
          <w:rFonts w:cs="Times New Roman"/>
        </w:rPr>
        <w:t>1</w:t>
      </w:r>
      <w:r w:rsidRPr="00E031B2">
        <w:rPr>
          <w:rFonts w:cs="Times New Roman"/>
        </w:rPr>
        <w:t>：立项文件</w:t>
      </w:r>
    </w:p>
    <w:p w:rsidR="0083555F" w:rsidRPr="00E031B2" w:rsidRDefault="0083555F" w:rsidP="0083555F">
      <w:pPr>
        <w:ind w:firstLineChars="0" w:firstLine="0"/>
        <w:rPr>
          <w:rFonts w:cs="Times New Roman"/>
        </w:rPr>
      </w:pPr>
      <w:r w:rsidRPr="00E031B2">
        <w:rPr>
          <w:rFonts w:cs="Times New Roman"/>
        </w:rPr>
        <w:t>附件</w:t>
      </w:r>
      <w:r w:rsidRPr="00E031B2">
        <w:rPr>
          <w:rFonts w:cs="Times New Roman"/>
        </w:rPr>
        <w:t>2</w:t>
      </w:r>
      <w:r w:rsidRPr="00E031B2">
        <w:rPr>
          <w:rFonts w:cs="Times New Roman"/>
        </w:rPr>
        <w:t>：《天津市规划行政许可事项</w:t>
      </w:r>
      <w:r w:rsidRPr="00E031B2">
        <w:rPr>
          <w:rFonts w:cs="Times New Roman"/>
        </w:rPr>
        <w:t>&lt;</w:t>
      </w:r>
      <w:r w:rsidRPr="00E031B2">
        <w:rPr>
          <w:rFonts w:cs="Times New Roman"/>
        </w:rPr>
        <w:t>建设工程规划许可证</w:t>
      </w:r>
      <w:r w:rsidRPr="00E031B2">
        <w:rPr>
          <w:rFonts w:cs="Times New Roman"/>
        </w:rPr>
        <w:t>&gt;</w:t>
      </w:r>
      <w:r w:rsidRPr="00E031B2">
        <w:rPr>
          <w:rFonts w:cs="Times New Roman"/>
        </w:rPr>
        <w:t>通知书》</w:t>
      </w:r>
    </w:p>
    <w:p w:rsidR="0083555F" w:rsidRPr="00E031B2" w:rsidRDefault="0083555F" w:rsidP="0083555F">
      <w:pPr>
        <w:ind w:firstLineChars="0" w:firstLine="0"/>
        <w:rPr>
          <w:rFonts w:cs="Times New Roman"/>
        </w:rPr>
      </w:pPr>
      <w:r w:rsidRPr="00E031B2">
        <w:rPr>
          <w:rFonts w:cs="Times New Roman"/>
        </w:rPr>
        <w:t>附件</w:t>
      </w:r>
      <w:r w:rsidRPr="00E031B2">
        <w:rPr>
          <w:rFonts w:cs="Times New Roman"/>
        </w:rPr>
        <w:t>3</w:t>
      </w:r>
      <w:r w:rsidRPr="00E031B2">
        <w:rPr>
          <w:rFonts w:cs="Times New Roman"/>
        </w:rPr>
        <w:t>：环评批复</w:t>
      </w:r>
    </w:p>
    <w:p w:rsidR="0083555F" w:rsidRPr="00E031B2" w:rsidRDefault="0083555F" w:rsidP="0083555F">
      <w:pPr>
        <w:ind w:firstLineChars="0" w:firstLine="0"/>
        <w:rPr>
          <w:rFonts w:cs="Times New Roman"/>
        </w:rPr>
      </w:pPr>
      <w:r w:rsidRPr="00E031B2">
        <w:rPr>
          <w:rFonts w:cs="Times New Roman"/>
        </w:rPr>
        <w:t>附件</w:t>
      </w:r>
      <w:r w:rsidR="004E0C2D">
        <w:rPr>
          <w:rFonts w:cs="Times New Roman"/>
        </w:rPr>
        <w:t>4</w:t>
      </w:r>
      <w:r w:rsidRPr="00E031B2">
        <w:rPr>
          <w:rFonts w:cs="Times New Roman"/>
        </w:rPr>
        <w:t>：垃圾委托清运协议书</w:t>
      </w:r>
    </w:p>
    <w:p w:rsidR="003E2173" w:rsidRDefault="003E2173">
      <w:pPr>
        <w:ind w:firstLineChars="0" w:firstLine="0"/>
        <w:rPr>
          <w:sz w:val="36"/>
        </w:rPr>
        <w:sectPr w:rsidR="003E2173">
          <w:headerReference w:type="default" r:id="rId14"/>
          <w:pgSz w:w="11906" w:h="16838"/>
          <w:pgMar w:top="1440" w:right="1800" w:bottom="1440" w:left="1800" w:header="851" w:footer="992" w:gutter="0"/>
          <w:pgNumType w:start="1"/>
          <w:cols w:space="425"/>
          <w:docGrid w:type="lines" w:linePitch="326"/>
        </w:sectPr>
      </w:pPr>
    </w:p>
    <w:p w:rsidR="008C2830" w:rsidRDefault="00C13EC2">
      <w:pPr>
        <w:pStyle w:val="1"/>
      </w:pPr>
      <w:bookmarkStart w:id="1" w:name="_Toc523513189"/>
      <w:r w:rsidRPr="00C13EC2">
        <w:lastRenderedPageBreak/>
        <w:t>1</w:t>
      </w:r>
      <w:r w:rsidRPr="00C13EC2">
        <w:rPr>
          <w:rFonts w:hint="eastAsia"/>
        </w:rPr>
        <w:t>、验收项目概况</w:t>
      </w:r>
      <w:bookmarkEnd w:id="1"/>
    </w:p>
    <w:p w:rsidR="0083555F" w:rsidRPr="00E031B2" w:rsidRDefault="0083555F" w:rsidP="0083555F">
      <w:pPr>
        <w:ind w:firstLine="480"/>
      </w:pPr>
      <w:r w:rsidRPr="00E031B2">
        <w:t>天津君恒投资有限公司主要从事房地产开发工作，投资</w:t>
      </w:r>
      <w:r w:rsidRPr="00E031B2">
        <w:t>13680</w:t>
      </w:r>
      <w:r w:rsidRPr="00E031B2">
        <w:t>万元人民币于天津市东丽区新立街津塘公路与日新路交口处东北侧建设</w:t>
      </w:r>
      <w:r w:rsidRPr="00E031B2">
        <w:t>“</w:t>
      </w:r>
      <w:r w:rsidRPr="00E031B2">
        <w:t>天津君恒投资有限公司东丽建材</w:t>
      </w:r>
      <w:r w:rsidRPr="00E031B2">
        <w:t>D</w:t>
      </w:r>
      <w:r w:rsidRPr="00E031B2">
        <w:t>地块项目（变更</w:t>
      </w:r>
      <w:r w:rsidRPr="00E031B2">
        <w:rPr>
          <w:rFonts w:hAnsi="宋体"/>
        </w:rPr>
        <w:t>）</w:t>
      </w:r>
      <w:r w:rsidRPr="00E031B2">
        <w:t>”</w:t>
      </w:r>
      <w:r w:rsidRPr="00E031B2">
        <w:rPr>
          <w:rFonts w:hAnsi="宋体"/>
        </w:rPr>
        <w:t>。</w:t>
      </w:r>
    </w:p>
    <w:p w:rsidR="00893027" w:rsidRDefault="0083555F" w:rsidP="0083555F">
      <w:pPr>
        <w:ind w:firstLine="480"/>
      </w:pPr>
      <w:r w:rsidRPr="00E031B2">
        <w:t>项目位于东丽区北纬</w:t>
      </w:r>
      <w:r w:rsidRPr="00E031B2">
        <w:t xml:space="preserve">39°04′55.92″ </w:t>
      </w:r>
      <w:r w:rsidRPr="00E031B2">
        <w:t>东经</w:t>
      </w:r>
      <w:r w:rsidRPr="00E031B2">
        <w:t>117°20′55.16″</w:t>
      </w:r>
      <w:r w:rsidRPr="00E031B2">
        <w:t>，规划用地面积</w:t>
      </w:r>
      <w:r w:rsidRPr="00E031B2">
        <w:t>25070m</w:t>
      </w:r>
      <w:r w:rsidRPr="00E031B2">
        <w:rPr>
          <w:vertAlign w:val="superscript"/>
        </w:rPr>
        <w:t>2</w:t>
      </w:r>
      <w:r w:rsidRPr="00E031B2">
        <w:t>，总建筑面积</w:t>
      </w:r>
      <w:r w:rsidRPr="00E031B2">
        <w:t>35885m</w:t>
      </w:r>
      <w:r w:rsidRPr="00E031B2">
        <w:rPr>
          <w:vertAlign w:val="superscript"/>
        </w:rPr>
        <w:t>2</w:t>
      </w:r>
      <w:r w:rsidRPr="00E031B2">
        <w:t>，其中地上建筑面积</w:t>
      </w:r>
      <w:r w:rsidRPr="00E031B2">
        <w:t>34650m</w:t>
      </w:r>
      <w:r w:rsidRPr="00E031B2">
        <w:rPr>
          <w:vertAlign w:val="superscript"/>
        </w:rPr>
        <w:t>2</w:t>
      </w:r>
      <w:r w:rsidRPr="00E031B2">
        <w:t>，配套地下建筑面积</w:t>
      </w:r>
      <w:r>
        <w:t>1235</w:t>
      </w:r>
      <w:r w:rsidRPr="00E031B2">
        <w:t>m</w:t>
      </w:r>
      <w:r w:rsidRPr="00E031B2">
        <w:rPr>
          <w:vertAlign w:val="superscript"/>
        </w:rPr>
        <w:t>2</w:t>
      </w:r>
      <w:r w:rsidRPr="00E031B2">
        <w:t>；住宅建筑面积</w:t>
      </w:r>
      <w:r>
        <w:t>34310</w:t>
      </w:r>
      <w:r w:rsidRPr="00E031B2">
        <w:t>m</w:t>
      </w:r>
      <w:r w:rsidRPr="00E031B2">
        <w:rPr>
          <w:vertAlign w:val="superscript"/>
        </w:rPr>
        <w:t>2</w:t>
      </w:r>
      <w:r w:rsidRPr="00E031B2">
        <w:t>，建设</w:t>
      </w:r>
      <w:r w:rsidRPr="00E031B2">
        <w:t>8</w:t>
      </w:r>
      <w:r w:rsidRPr="00E031B2">
        <w:t>栋住宅楼（</w:t>
      </w:r>
      <w:r w:rsidRPr="00E031B2">
        <w:t>11</w:t>
      </w:r>
      <w:r w:rsidRPr="00E031B2">
        <w:t>层</w:t>
      </w:r>
      <w:r w:rsidRPr="00E031B2">
        <w:t>1</w:t>
      </w:r>
      <w:r w:rsidRPr="00E031B2">
        <w:t>栋、</w:t>
      </w:r>
      <w:r w:rsidRPr="00E031B2">
        <w:t>10</w:t>
      </w:r>
      <w:r w:rsidRPr="00E031B2">
        <w:t>层</w:t>
      </w:r>
      <w:r w:rsidRPr="00E031B2">
        <w:t>1</w:t>
      </w:r>
      <w:r w:rsidRPr="00E031B2">
        <w:t>栋、</w:t>
      </w:r>
      <w:r w:rsidRPr="00E031B2">
        <w:t>7</w:t>
      </w:r>
      <w:r w:rsidRPr="00E031B2">
        <w:t>层</w:t>
      </w:r>
      <w:r w:rsidRPr="00E031B2">
        <w:t>3</w:t>
      </w:r>
      <w:r w:rsidRPr="00E031B2">
        <w:t>栋、</w:t>
      </w:r>
      <w:r w:rsidRPr="00E031B2">
        <w:t>14</w:t>
      </w:r>
      <w:r w:rsidRPr="00E031B2">
        <w:t>层</w:t>
      </w:r>
      <w:r w:rsidRPr="00E031B2">
        <w:t>3</w:t>
      </w:r>
      <w:r w:rsidRPr="00E031B2">
        <w:t>栋）及</w:t>
      </w:r>
      <w:r w:rsidRPr="00E031B2">
        <w:t>1</w:t>
      </w:r>
      <w:r w:rsidRPr="00E031B2">
        <w:t>座</w:t>
      </w:r>
      <w:r w:rsidRPr="00E031B2">
        <w:t>3</w:t>
      </w:r>
      <w:r w:rsidRPr="00E031B2">
        <w:t>层配套公建，建筑面积</w:t>
      </w:r>
      <w:r w:rsidRPr="00E031B2">
        <w:t>340m</w:t>
      </w:r>
      <w:r w:rsidRPr="00E031B2">
        <w:rPr>
          <w:vertAlign w:val="superscript"/>
        </w:rPr>
        <w:t>2</w:t>
      </w:r>
      <w:r w:rsidRPr="00E031B2">
        <w:t>，使用功能为物业管理用房、电讯设备间等；同时在区内设置燃气调压柜、</w:t>
      </w:r>
      <w:r w:rsidRPr="00E031B2">
        <w:t>10kV</w:t>
      </w:r>
      <w:r w:rsidRPr="00E031B2">
        <w:t>土建变电站等；地下工程主要为地下储物间及设备用房。</w:t>
      </w:r>
    </w:p>
    <w:p w:rsidR="0083555F" w:rsidRPr="00E031B2" w:rsidRDefault="0083555F" w:rsidP="0083555F">
      <w:pPr>
        <w:ind w:firstLine="480"/>
        <w:rPr>
          <w:strike/>
          <w:color w:val="FF0000"/>
        </w:rPr>
      </w:pPr>
      <w:r w:rsidRPr="00E031B2">
        <w:t>本项目于</w:t>
      </w:r>
      <w:r w:rsidRPr="00E031B2">
        <w:t>2011</w:t>
      </w:r>
      <w:r w:rsidRPr="00E031B2">
        <w:t>年</w:t>
      </w:r>
      <w:r w:rsidRPr="00E031B2">
        <w:t>3</w:t>
      </w:r>
      <w:r w:rsidRPr="00E031B2">
        <w:t>月通过天津市东丽区发展和改革委员会批复，后因其建筑面积的调整而未开工建设，建设单位于</w:t>
      </w:r>
      <w:r w:rsidRPr="00E031B2">
        <w:t>2012</w:t>
      </w:r>
      <w:r w:rsidRPr="00E031B2">
        <w:t>年</w:t>
      </w:r>
      <w:r w:rsidRPr="00E031B2">
        <w:t>1</w:t>
      </w:r>
      <w:r w:rsidRPr="00E031B2">
        <w:t>月向天津市东丽区发展和改革委员会申请变更，</w:t>
      </w:r>
      <w:r w:rsidRPr="00E031B2">
        <w:t>2012</w:t>
      </w:r>
      <w:r w:rsidRPr="00E031B2">
        <w:t>年</w:t>
      </w:r>
      <w:r w:rsidRPr="00E031B2">
        <w:t>4</w:t>
      </w:r>
      <w:r w:rsidRPr="00E031B2">
        <w:t>月委托天津市气象科学研究所</w:t>
      </w:r>
      <w:r w:rsidRPr="00E031B2">
        <w:rPr>
          <w:color w:val="auto"/>
        </w:rPr>
        <w:t>完成环境影响评价</w:t>
      </w:r>
      <w:r w:rsidRPr="00E031B2">
        <w:rPr>
          <w:color w:val="auto"/>
          <w:szCs w:val="24"/>
        </w:rPr>
        <w:t>报告</w:t>
      </w:r>
      <w:r w:rsidRPr="00E031B2">
        <w:rPr>
          <w:szCs w:val="24"/>
        </w:rPr>
        <w:t>表的编制</w:t>
      </w:r>
      <w:r w:rsidRPr="00E031B2">
        <w:t>。</w:t>
      </w:r>
      <w:r w:rsidRPr="00E031B2">
        <w:t>2012</w:t>
      </w:r>
      <w:r w:rsidRPr="00E031B2">
        <w:t>年</w:t>
      </w:r>
      <w:r w:rsidRPr="00E031B2">
        <w:t>5</w:t>
      </w:r>
      <w:r w:rsidRPr="00E031B2">
        <w:t>月</w:t>
      </w:r>
      <w:r w:rsidRPr="00E031B2">
        <w:t>8</w:t>
      </w:r>
      <w:r w:rsidRPr="00E031B2">
        <w:t>日得到天津市东丽区环境保护局对该项目环境影响报告表的批复。</w:t>
      </w:r>
      <w:r w:rsidRPr="00E031B2">
        <w:rPr>
          <w:color w:val="auto"/>
        </w:rPr>
        <w:t>2012</w:t>
      </w:r>
      <w:r w:rsidRPr="00E031B2">
        <w:rPr>
          <w:color w:val="auto"/>
        </w:rPr>
        <w:t>年</w:t>
      </w:r>
      <w:r w:rsidRPr="00E031B2">
        <w:rPr>
          <w:color w:val="auto"/>
        </w:rPr>
        <w:t>6</w:t>
      </w:r>
      <w:r w:rsidRPr="00E031B2">
        <w:rPr>
          <w:color w:val="auto"/>
        </w:rPr>
        <w:t>月开工建设，</w:t>
      </w:r>
      <w:r w:rsidRPr="00E031B2">
        <w:rPr>
          <w:color w:val="auto"/>
        </w:rPr>
        <w:t>2014</w:t>
      </w:r>
      <w:r w:rsidRPr="00E031B2">
        <w:rPr>
          <w:color w:val="auto"/>
        </w:rPr>
        <w:t>年</w:t>
      </w:r>
      <w:r w:rsidRPr="00E031B2">
        <w:rPr>
          <w:color w:val="auto"/>
        </w:rPr>
        <w:t>5</w:t>
      </w:r>
      <w:r w:rsidRPr="00E031B2">
        <w:rPr>
          <w:color w:val="auto"/>
        </w:rPr>
        <w:t>月竣工。</w:t>
      </w:r>
    </w:p>
    <w:p w:rsidR="0083555F" w:rsidRPr="00E031B2" w:rsidRDefault="00630E7E" w:rsidP="0083555F">
      <w:pPr>
        <w:ind w:firstLine="480"/>
        <w:rPr>
          <w:color w:val="auto"/>
          <w:szCs w:val="24"/>
        </w:rPr>
      </w:pPr>
      <w:r w:rsidRPr="00630E7E">
        <w:rPr>
          <w:rFonts w:hint="eastAsia"/>
          <w:color w:val="auto"/>
          <w:szCs w:val="24"/>
        </w:rPr>
        <w:t>天津君恒投资有限公司</w:t>
      </w:r>
      <w:r w:rsidR="0063737E" w:rsidRPr="0063737E">
        <w:rPr>
          <w:rFonts w:hint="eastAsia"/>
          <w:color w:val="auto"/>
          <w:szCs w:val="24"/>
        </w:rPr>
        <w:t>委托深圳市环新环保技术有限公司天津西青分公司进行该工程的验收调查工作。深圳市环新环保技术有限公司天津西青分公司</w:t>
      </w:r>
      <w:r w:rsidR="004E0C2D" w:rsidRPr="004E0C2D">
        <w:rPr>
          <w:rFonts w:hint="eastAsia"/>
          <w:color w:val="auto"/>
          <w:szCs w:val="24"/>
        </w:rPr>
        <w:t>根据环境保护部国环规环评</w:t>
      </w:r>
      <w:r w:rsidR="004E0C2D" w:rsidRPr="004E0C2D">
        <w:rPr>
          <w:rFonts w:hint="eastAsia"/>
          <w:color w:val="auto"/>
          <w:szCs w:val="24"/>
        </w:rPr>
        <w:t>[2017]4</w:t>
      </w:r>
      <w:r w:rsidR="004E0C2D" w:rsidRPr="004E0C2D">
        <w:rPr>
          <w:rFonts w:hint="eastAsia"/>
          <w:color w:val="auto"/>
          <w:szCs w:val="24"/>
        </w:rPr>
        <w:t>号《建设项目竣工环境保护验收暂行办法》和《国务院关于修改</w:t>
      </w:r>
      <w:r w:rsidR="004E0C2D" w:rsidRPr="004E0C2D">
        <w:rPr>
          <w:rFonts w:hint="eastAsia"/>
          <w:color w:val="auto"/>
          <w:szCs w:val="24"/>
        </w:rPr>
        <w:t>&lt;</w:t>
      </w:r>
      <w:r w:rsidR="004E0C2D" w:rsidRPr="004E0C2D">
        <w:rPr>
          <w:rFonts w:hint="eastAsia"/>
          <w:color w:val="auto"/>
          <w:szCs w:val="24"/>
        </w:rPr>
        <w:t>建设项目环境保护管理条例</w:t>
      </w:r>
      <w:r w:rsidR="004E0C2D" w:rsidRPr="004E0C2D">
        <w:rPr>
          <w:rFonts w:hint="eastAsia"/>
          <w:color w:val="auto"/>
          <w:szCs w:val="24"/>
        </w:rPr>
        <w:t>&gt;</w:t>
      </w:r>
      <w:r w:rsidR="004E0C2D" w:rsidRPr="004E0C2D">
        <w:rPr>
          <w:rFonts w:hint="eastAsia"/>
          <w:color w:val="auto"/>
          <w:szCs w:val="24"/>
        </w:rPr>
        <w:t>的决定》国务院令第</w:t>
      </w:r>
      <w:r w:rsidR="004E0C2D" w:rsidRPr="004E0C2D">
        <w:rPr>
          <w:rFonts w:hint="eastAsia"/>
          <w:color w:val="auto"/>
          <w:szCs w:val="24"/>
        </w:rPr>
        <w:t>682</w:t>
      </w:r>
      <w:r w:rsidR="004E0C2D" w:rsidRPr="004E0C2D">
        <w:rPr>
          <w:rFonts w:hint="eastAsia"/>
          <w:color w:val="auto"/>
          <w:szCs w:val="24"/>
        </w:rPr>
        <w:t>号的要求和规定，在进行了现场勘察，查阅有关文件和技术资料，查看污染物治理及排放、环保措施的落实情况后，在此基础上根据国环规环评</w:t>
      </w:r>
      <w:r w:rsidR="004E0C2D" w:rsidRPr="004E0C2D">
        <w:rPr>
          <w:rFonts w:hint="eastAsia"/>
          <w:color w:val="auto"/>
          <w:szCs w:val="24"/>
        </w:rPr>
        <w:t>[2017]4</w:t>
      </w:r>
      <w:r w:rsidR="004E0C2D" w:rsidRPr="004E0C2D">
        <w:rPr>
          <w:rFonts w:hint="eastAsia"/>
          <w:color w:val="auto"/>
          <w:szCs w:val="24"/>
        </w:rPr>
        <w:t>号“关于</w:t>
      </w:r>
      <w:r w:rsidR="004E0C2D">
        <w:rPr>
          <w:rFonts w:hint="eastAsia"/>
          <w:color w:val="auto"/>
          <w:szCs w:val="24"/>
        </w:rPr>
        <w:t>发布《建设项目竣工环境保护验收暂行办法》的公告”要求，编制完成</w:t>
      </w:r>
      <w:r w:rsidR="0083555F" w:rsidRPr="00E031B2">
        <w:rPr>
          <w:color w:val="auto"/>
          <w:szCs w:val="24"/>
        </w:rPr>
        <w:t>《天津君恒投资有限公司东丽建材</w:t>
      </w:r>
      <w:r w:rsidR="0083555F" w:rsidRPr="00E031B2">
        <w:rPr>
          <w:color w:val="auto"/>
          <w:szCs w:val="24"/>
        </w:rPr>
        <w:t>D</w:t>
      </w:r>
      <w:r w:rsidR="0083555F" w:rsidRPr="00E031B2">
        <w:rPr>
          <w:color w:val="auto"/>
          <w:szCs w:val="24"/>
        </w:rPr>
        <w:t>地块项目（变更）</w:t>
      </w:r>
      <w:r w:rsidR="004E0C2D" w:rsidRPr="004E0C2D">
        <w:rPr>
          <w:rFonts w:hint="eastAsia"/>
          <w:color w:val="auto"/>
          <w:szCs w:val="24"/>
        </w:rPr>
        <w:t>固体废物污染防治设施</w:t>
      </w:r>
      <w:r w:rsidR="0083555F" w:rsidRPr="00E031B2">
        <w:rPr>
          <w:color w:val="auto"/>
          <w:szCs w:val="24"/>
        </w:rPr>
        <w:t>竣工环境保护验收监测报告》。</w:t>
      </w:r>
    </w:p>
    <w:p w:rsidR="0083555F" w:rsidRDefault="0083555F">
      <w:pPr>
        <w:spacing w:line="240" w:lineRule="auto"/>
        <w:ind w:firstLineChars="0" w:firstLine="0"/>
      </w:pPr>
      <w:r>
        <w:br w:type="page"/>
      </w:r>
    </w:p>
    <w:p w:rsidR="003E2173" w:rsidRDefault="004B0ECA">
      <w:pPr>
        <w:pStyle w:val="1"/>
      </w:pPr>
      <w:bookmarkStart w:id="2" w:name="_Toc523513190"/>
      <w:r>
        <w:lastRenderedPageBreak/>
        <w:t>2</w:t>
      </w:r>
      <w:r>
        <w:rPr>
          <w:rFonts w:hint="eastAsia"/>
        </w:rPr>
        <w:t>、</w:t>
      </w:r>
      <w:r>
        <w:t>验收监测依据</w:t>
      </w:r>
      <w:bookmarkEnd w:id="2"/>
    </w:p>
    <w:p w:rsidR="003E2173" w:rsidRDefault="004B0ECA">
      <w:pPr>
        <w:ind w:firstLine="480"/>
        <w:rPr>
          <w:rFonts w:cs="Times New Roman"/>
          <w:color w:val="auto"/>
          <w:szCs w:val="24"/>
        </w:rPr>
      </w:pPr>
      <w:r>
        <w:rPr>
          <w:rFonts w:hint="eastAsia"/>
        </w:rPr>
        <w:t>（</w:t>
      </w:r>
      <w:r>
        <w:t>1</w:t>
      </w:r>
      <w:r>
        <w:rPr>
          <w:rFonts w:hint="eastAsia"/>
        </w:rPr>
        <w:t>）</w:t>
      </w:r>
      <w:r>
        <w:rPr>
          <w:rFonts w:cs="Times New Roman" w:hint="eastAsia"/>
          <w:color w:val="auto"/>
          <w:szCs w:val="24"/>
        </w:rPr>
        <w:t>《中华人民共和国环境保护法》（</w:t>
      </w:r>
      <w:r>
        <w:rPr>
          <w:rFonts w:cs="Times New Roman" w:hint="eastAsia"/>
          <w:color w:val="auto"/>
          <w:szCs w:val="24"/>
        </w:rPr>
        <w:t>2015</w:t>
      </w:r>
      <w:r>
        <w:rPr>
          <w:rFonts w:cs="Times New Roman" w:hint="eastAsia"/>
          <w:color w:val="auto"/>
          <w:szCs w:val="24"/>
        </w:rPr>
        <w:t>年</w:t>
      </w:r>
      <w:r>
        <w:rPr>
          <w:rFonts w:cs="Times New Roman" w:hint="eastAsia"/>
          <w:color w:val="auto"/>
          <w:szCs w:val="24"/>
        </w:rPr>
        <w:t>1</w:t>
      </w:r>
      <w:r>
        <w:rPr>
          <w:rFonts w:cs="Times New Roman" w:hint="eastAsia"/>
          <w:color w:val="auto"/>
          <w:szCs w:val="24"/>
        </w:rPr>
        <w:t>月</w:t>
      </w:r>
      <w:r>
        <w:rPr>
          <w:rFonts w:cs="Times New Roman" w:hint="eastAsia"/>
          <w:color w:val="auto"/>
          <w:szCs w:val="24"/>
        </w:rPr>
        <w:t>1</w:t>
      </w:r>
      <w:r>
        <w:rPr>
          <w:rFonts w:cs="Times New Roman" w:hint="eastAsia"/>
          <w:color w:val="auto"/>
          <w:szCs w:val="24"/>
        </w:rPr>
        <w:t>日起施行）；</w:t>
      </w:r>
    </w:p>
    <w:p w:rsidR="003E2173" w:rsidRDefault="004B0ECA">
      <w:pPr>
        <w:ind w:firstLine="480"/>
      </w:pPr>
      <w:r>
        <w:rPr>
          <w:rFonts w:hint="eastAsia"/>
        </w:rPr>
        <w:t>（</w:t>
      </w:r>
      <w:r>
        <w:t>2</w:t>
      </w:r>
      <w:r>
        <w:rPr>
          <w:rFonts w:hint="eastAsia"/>
        </w:rPr>
        <w:t>）《中华人民共和国固体废物污染环境防治法》（</w:t>
      </w:r>
      <w:r>
        <w:rPr>
          <w:rFonts w:hint="eastAsia"/>
        </w:rPr>
        <w:t>2016</w:t>
      </w:r>
      <w:r>
        <w:rPr>
          <w:rFonts w:hint="eastAsia"/>
        </w:rPr>
        <w:t>年</w:t>
      </w:r>
      <w:r>
        <w:rPr>
          <w:rFonts w:hint="eastAsia"/>
        </w:rPr>
        <w:t>11</w:t>
      </w:r>
      <w:r>
        <w:rPr>
          <w:rFonts w:hint="eastAsia"/>
        </w:rPr>
        <w:t>月</w:t>
      </w:r>
      <w:r>
        <w:rPr>
          <w:rFonts w:hint="eastAsia"/>
        </w:rPr>
        <w:t>07</w:t>
      </w:r>
      <w:r>
        <w:rPr>
          <w:rFonts w:hint="eastAsia"/>
        </w:rPr>
        <w:t>日修正版）；</w:t>
      </w:r>
    </w:p>
    <w:p w:rsidR="003E2173" w:rsidRDefault="004B0ECA">
      <w:pPr>
        <w:ind w:firstLine="480"/>
        <w:rPr>
          <w:kern w:val="0"/>
        </w:rPr>
      </w:pPr>
      <w:r>
        <w:rPr>
          <w:rFonts w:hint="eastAsia"/>
        </w:rPr>
        <w:t>（</w:t>
      </w:r>
      <w:r>
        <w:t>3</w:t>
      </w:r>
      <w:r>
        <w:rPr>
          <w:rFonts w:hint="eastAsia"/>
        </w:rPr>
        <w:t>）中华人民共和国国务院令第</w:t>
      </w:r>
      <w:r>
        <w:t>682</w:t>
      </w:r>
      <w:r>
        <w:rPr>
          <w:rFonts w:hint="eastAsia"/>
        </w:rPr>
        <w:t>号《国务院关于修改</w:t>
      </w:r>
      <w:r>
        <w:rPr>
          <w:rFonts w:hint="eastAsia"/>
        </w:rPr>
        <w:t>&lt;.</w:t>
      </w:r>
      <w:r>
        <w:rPr>
          <w:rFonts w:hint="eastAsia"/>
        </w:rPr>
        <w:t>建设项目环境保护管理条例</w:t>
      </w:r>
      <w:r>
        <w:rPr>
          <w:rFonts w:hint="eastAsia"/>
        </w:rPr>
        <w:t>&gt;</w:t>
      </w:r>
      <w:r>
        <w:rPr>
          <w:rFonts w:hint="eastAsia"/>
        </w:rPr>
        <w:t>的决定</w:t>
      </w:r>
      <w:r>
        <w:rPr>
          <w:rFonts w:hint="eastAsia"/>
          <w:kern w:val="0"/>
        </w:rPr>
        <w:t>》（</w:t>
      </w:r>
      <w:r>
        <w:rPr>
          <w:rFonts w:hint="eastAsia"/>
          <w:kern w:val="0"/>
        </w:rPr>
        <w:t>2017</w:t>
      </w:r>
      <w:r>
        <w:rPr>
          <w:rFonts w:hint="eastAsia"/>
          <w:kern w:val="0"/>
        </w:rPr>
        <w:t>年</w:t>
      </w:r>
      <w:r>
        <w:rPr>
          <w:rFonts w:hint="eastAsia"/>
          <w:kern w:val="0"/>
        </w:rPr>
        <w:t>10</w:t>
      </w:r>
      <w:r>
        <w:rPr>
          <w:rFonts w:hint="eastAsia"/>
          <w:kern w:val="0"/>
        </w:rPr>
        <w:t>月</w:t>
      </w:r>
      <w:r>
        <w:rPr>
          <w:rFonts w:hint="eastAsia"/>
          <w:kern w:val="0"/>
        </w:rPr>
        <w:t>1</w:t>
      </w:r>
      <w:r>
        <w:rPr>
          <w:rFonts w:hint="eastAsia"/>
          <w:kern w:val="0"/>
        </w:rPr>
        <w:t>日起施行）；</w:t>
      </w:r>
    </w:p>
    <w:p w:rsidR="003E2173" w:rsidRDefault="004B0ECA">
      <w:pPr>
        <w:ind w:firstLine="480"/>
        <w:rPr>
          <w:rFonts w:cs="Times New Roman"/>
          <w:bCs/>
          <w:color w:val="auto"/>
          <w:szCs w:val="24"/>
        </w:rPr>
      </w:pPr>
      <w:r>
        <w:rPr>
          <w:rFonts w:hint="eastAsia"/>
        </w:rPr>
        <w:t>（</w:t>
      </w:r>
      <w:r>
        <w:t>4</w:t>
      </w:r>
      <w:r>
        <w:rPr>
          <w:rFonts w:hint="eastAsia"/>
        </w:rPr>
        <w:t>）</w:t>
      </w:r>
      <w:r>
        <w:rPr>
          <w:rFonts w:cs="Times New Roman" w:hint="eastAsia"/>
          <w:color w:val="auto"/>
          <w:szCs w:val="24"/>
        </w:rPr>
        <w:t>中华人民共和国环境保护部</w:t>
      </w:r>
      <w:r>
        <w:rPr>
          <w:rFonts w:cs="Times New Roman" w:hint="eastAsia"/>
          <w:color w:val="auto"/>
          <w:szCs w:val="24"/>
        </w:rPr>
        <w:t>2017</w:t>
      </w:r>
      <w:r>
        <w:rPr>
          <w:rFonts w:cs="Times New Roman" w:hint="eastAsia"/>
          <w:color w:val="auto"/>
          <w:szCs w:val="24"/>
        </w:rPr>
        <w:t>年</w:t>
      </w:r>
      <w:r>
        <w:rPr>
          <w:rFonts w:cs="Times New Roman" w:hint="eastAsia"/>
          <w:color w:val="auto"/>
          <w:szCs w:val="24"/>
        </w:rPr>
        <w:t>11</w:t>
      </w:r>
      <w:r>
        <w:rPr>
          <w:rFonts w:cs="Times New Roman" w:hint="eastAsia"/>
          <w:color w:val="auto"/>
          <w:szCs w:val="24"/>
        </w:rPr>
        <w:t>月</w:t>
      </w:r>
      <w:r>
        <w:rPr>
          <w:rFonts w:cs="Times New Roman" w:hint="eastAsia"/>
          <w:color w:val="auto"/>
          <w:szCs w:val="24"/>
        </w:rPr>
        <w:t>20</w:t>
      </w:r>
      <w:r>
        <w:rPr>
          <w:rFonts w:cs="Times New Roman" w:hint="eastAsia"/>
          <w:color w:val="auto"/>
          <w:szCs w:val="24"/>
        </w:rPr>
        <w:t>日关于发布</w:t>
      </w:r>
      <w:r>
        <w:rPr>
          <w:rFonts w:cs="Times New Roman" w:hint="eastAsia"/>
          <w:bCs/>
          <w:color w:val="auto"/>
          <w:szCs w:val="24"/>
        </w:rPr>
        <w:t>《建设项目竣工环境保护验收暂行办法》的公告（国环规环评</w:t>
      </w:r>
      <w:r>
        <w:rPr>
          <w:rFonts w:cs="Times New Roman"/>
          <w:color w:val="auto"/>
          <w:szCs w:val="24"/>
        </w:rPr>
        <w:t>[2017]4</w:t>
      </w:r>
      <w:r>
        <w:rPr>
          <w:rFonts w:cs="Times New Roman" w:hint="eastAsia"/>
          <w:color w:val="auto"/>
          <w:szCs w:val="24"/>
        </w:rPr>
        <w:t>号</w:t>
      </w:r>
      <w:r>
        <w:rPr>
          <w:rFonts w:cs="Times New Roman" w:hint="eastAsia"/>
          <w:bCs/>
          <w:color w:val="auto"/>
          <w:szCs w:val="24"/>
        </w:rPr>
        <w:t>）；</w:t>
      </w:r>
    </w:p>
    <w:p w:rsidR="008110F0" w:rsidRPr="008110F0" w:rsidRDefault="008110F0" w:rsidP="008110F0">
      <w:pPr>
        <w:ind w:firstLine="480"/>
        <w:rPr>
          <w:rFonts w:cs="Times New Roman"/>
          <w:bCs/>
          <w:color w:val="auto"/>
          <w:szCs w:val="24"/>
        </w:rPr>
      </w:pPr>
      <w:r>
        <w:rPr>
          <w:rFonts w:cs="Times New Roman" w:hint="eastAsia"/>
          <w:bCs/>
          <w:color w:val="auto"/>
          <w:szCs w:val="24"/>
        </w:rPr>
        <w:t>（</w:t>
      </w:r>
      <w:r w:rsidRPr="008110F0">
        <w:rPr>
          <w:rFonts w:cs="Times New Roman" w:hint="eastAsia"/>
          <w:bCs/>
          <w:color w:val="auto"/>
          <w:szCs w:val="24"/>
        </w:rPr>
        <w:t>5</w:t>
      </w:r>
      <w:r>
        <w:rPr>
          <w:rFonts w:cs="Times New Roman" w:hint="eastAsia"/>
          <w:bCs/>
          <w:color w:val="auto"/>
          <w:szCs w:val="24"/>
        </w:rPr>
        <w:t>）</w:t>
      </w:r>
      <w:r w:rsidRPr="008110F0">
        <w:rPr>
          <w:rFonts w:cs="Times New Roman" w:hint="eastAsia"/>
          <w:bCs/>
          <w:color w:val="auto"/>
          <w:szCs w:val="24"/>
        </w:rPr>
        <w:t>天津市环境保护局津环保监理</w:t>
      </w:r>
      <w:r w:rsidRPr="008110F0">
        <w:rPr>
          <w:rFonts w:cs="Times New Roman"/>
          <w:bCs/>
          <w:color w:val="auto"/>
          <w:szCs w:val="24"/>
        </w:rPr>
        <w:t>[</w:t>
      </w:r>
      <w:r w:rsidRPr="008110F0">
        <w:rPr>
          <w:rFonts w:cs="Times New Roman" w:hint="eastAsia"/>
          <w:bCs/>
          <w:color w:val="auto"/>
          <w:szCs w:val="24"/>
        </w:rPr>
        <w:t>20</w:t>
      </w:r>
      <w:r>
        <w:rPr>
          <w:rFonts w:cs="Times New Roman" w:hint="eastAsia"/>
          <w:bCs/>
          <w:color w:val="auto"/>
          <w:szCs w:val="24"/>
        </w:rPr>
        <w:t>0</w:t>
      </w:r>
      <w:r w:rsidRPr="008110F0">
        <w:rPr>
          <w:rFonts w:cs="Times New Roman" w:hint="eastAsia"/>
          <w:bCs/>
          <w:color w:val="auto"/>
          <w:szCs w:val="24"/>
        </w:rPr>
        <w:t>2]71</w:t>
      </w:r>
      <w:r w:rsidRPr="008110F0">
        <w:rPr>
          <w:rFonts w:cs="Times New Roman" w:hint="eastAsia"/>
          <w:bCs/>
          <w:color w:val="auto"/>
          <w:szCs w:val="24"/>
        </w:rPr>
        <w:t>号</w:t>
      </w:r>
      <w:r>
        <w:rPr>
          <w:rFonts w:cs="Times New Roman" w:hint="eastAsia"/>
          <w:bCs/>
          <w:color w:val="auto"/>
          <w:szCs w:val="24"/>
        </w:rPr>
        <w:t>《</w:t>
      </w:r>
      <w:r w:rsidRPr="008110F0">
        <w:rPr>
          <w:rFonts w:cs="Times New Roman" w:hint="eastAsia"/>
          <w:bCs/>
          <w:color w:val="auto"/>
          <w:szCs w:val="24"/>
        </w:rPr>
        <w:t>关于加强我市排放口规范化整治工作的通知》；</w:t>
      </w:r>
    </w:p>
    <w:p w:rsidR="008110F0" w:rsidRPr="008110F0" w:rsidRDefault="008110F0" w:rsidP="008110F0">
      <w:pPr>
        <w:ind w:firstLine="480"/>
        <w:rPr>
          <w:rFonts w:cs="Times New Roman"/>
          <w:bCs/>
          <w:color w:val="auto"/>
          <w:szCs w:val="24"/>
        </w:rPr>
      </w:pPr>
      <w:r>
        <w:rPr>
          <w:rFonts w:cs="Times New Roman"/>
          <w:bCs/>
          <w:color w:val="auto"/>
          <w:szCs w:val="24"/>
        </w:rPr>
        <w:t>（</w:t>
      </w:r>
      <w:r w:rsidRPr="008110F0">
        <w:rPr>
          <w:rFonts w:cs="Times New Roman"/>
          <w:bCs/>
          <w:color w:val="auto"/>
          <w:szCs w:val="24"/>
        </w:rPr>
        <w:t>6</w:t>
      </w:r>
      <w:r>
        <w:rPr>
          <w:rFonts w:cs="Times New Roman"/>
          <w:bCs/>
          <w:color w:val="auto"/>
          <w:szCs w:val="24"/>
        </w:rPr>
        <w:t>）</w:t>
      </w:r>
      <w:r w:rsidRPr="008110F0">
        <w:rPr>
          <w:rFonts w:cs="Times New Roman" w:hint="eastAsia"/>
          <w:bCs/>
          <w:color w:val="auto"/>
          <w:szCs w:val="24"/>
        </w:rPr>
        <w:t>津环保监测</w:t>
      </w:r>
      <w:r w:rsidRPr="008110F0">
        <w:rPr>
          <w:rFonts w:cs="Times New Roman"/>
          <w:bCs/>
          <w:color w:val="auto"/>
          <w:szCs w:val="24"/>
        </w:rPr>
        <w:t>[20</w:t>
      </w:r>
      <w:r>
        <w:rPr>
          <w:rFonts w:cs="Times New Roman"/>
          <w:bCs/>
          <w:color w:val="auto"/>
          <w:szCs w:val="24"/>
        </w:rPr>
        <w:t>0</w:t>
      </w:r>
      <w:r w:rsidRPr="008110F0">
        <w:rPr>
          <w:rFonts w:cs="Times New Roman"/>
          <w:bCs/>
          <w:color w:val="auto"/>
          <w:szCs w:val="24"/>
        </w:rPr>
        <w:t>2]234</w:t>
      </w:r>
      <w:r>
        <w:rPr>
          <w:rFonts w:ascii="Tahoma" w:hAnsi="Tahoma" w:cs="Tahoma"/>
          <w:bCs/>
          <w:color w:val="auto"/>
          <w:szCs w:val="24"/>
        </w:rPr>
        <w:t>号</w:t>
      </w:r>
      <w:r w:rsidRPr="008110F0">
        <w:rPr>
          <w:rFonts w:cs="Times New Roman" w:hint="eastAsia"/>
          <w:bCs/>
          <w:color w:val="auto"/>
          <w:szCs w:val="24"/>
        </w:rPr>
        <w:t>《关于下发（天津市建设项目竣工环境保护验收监测技术要求）的通知》；</w:t>
      </w:r>
    </w:p>
    <w:p w:rsidR="008110F0" w:rsidRPr="008110F0" w:rsidRDefault="008110F0" w:rsidP="008110F0">
      <w:pPr>
        <w:ind w:firstLine="480"/>
        <w:rPr>
          <w:rFonts w:cs="Times New Roman"/>
          <w:bCs/>
          <w:color w:val="auto"/>
          <w:szCs w:val="24"/>
        </w:rPr>
      </w:pPr>
      <w:r>
        <w:rPr>
          <w:rFonts w:cs="Times New Roman" w:hint="eastAsia"/>
          <w:bCs/>
          <w:color w:val="auto"/>
          <w:szCs w:val="24"/>
        </w:rPr>
        <w:t>（</w:t>
      </w:r>
      <w:r>
        <w:rPr>
          <w:rFonts w:cs="Times New Roman" w:hint="eastAsia"/>
          <w:bCs/>
          <w:color w:val="auto"/>
          <w:szCs w:val="24"/>
        </w:rPr>
        <w:t>7</w:t>
      </w:r>
      <w:r>
        <w:rPr>
          <w:rFonts w:cs="Times New Roman" w:hint="eastAsia"/>
          <w:bCs/>
          <w:color w:val="auto"/>
          <w:szCs w:val="24"/>
        </w:rPr>
        <w:t>）</w:t>
      </w:r>
      <w:r w:rsidRPr="008110F0">
        <w:rPr>
          <w:rFonts w:cs="Times New Roman" w:hint="eastAsia"/>
          <w:bCs/>
          <w:color w:val="auto"/>
          <w:szCs w:val="24"/>
        </w:rPr>
        <w:t>津环保监测</w:t>
      </w:r>
      <w:r w:rsidRPr="008110F0">
        <w:rPr>
          <w:rFonts w:cs="Times New Roman" w:hint="eastAsia"/>
          <w:bCs/>
          <w:color w:val="auto"/>
          <w:szCs w:val="24"/>
        </w:rPr>
        <w:t>[2003]61</w:t>
      </w:r>
      <w:r w:rsidRPr="008110F0">
        <w:rPr>
          <w:rFonts w:cs="Times New Roman" w:hint="eastAsia"/>
          <w:bCs/>
          <w:color w:val="auto"/>
          <w:szCs w:val="24"/>
        </w:rPr>
        <w:t>号《关于印发（天津市建设项目竣工环境保护验收监测管理办法）的通知》；</w:t>
      </w:r>
    </w:p>
    <w:p w:rsidR="008110F0" w:rsidRPr="008110F0" w:rsidRDefault="008110F0" w:rsidP="008110F0">
      <w:pPr>
        <w:ind w:firstLine="480"/>
        <w:rPr>
          <w:rFonts w:cs="Times New Roman"/>
          <w:bCs/>
          <w:color w:val="auto"/>
          <w:szCs w:val="24"/>
        </w:rPr>
      </w:pPr>
      <w:r>
        <w:rPr>
          <w:rFonts w:cs="Times New Roman" w:hint="eastAsia"/>
          <w:bCs/>
          <w:color w:val="auto"/>
          <w:szCs w:val="24"/>
        </w:rPr>
        <w:t>（</w:t>
      </w:r>
      <w:r>
        <w:rPr>
          <w:rFonts w:cs="Times New Roman" w:hint="eastAsia"/>
          <w:bCs/>
          <w:color w:val="auto"/>
          <w:szCs w:val="24"/>
        </w:rPr>
        <w:t>8</w:t>
      </w:r>
      <w:r>
        <w:rPr>
          <w:rFonts w:cs="Times New Roman" w:hint="eastAsia"/>
          <w:bCs/>
          <w:color w:val="auto"/>
          <w:szCs w:val="24"/>
        </w:rPr>
        <w:t>）</w:t>
      </w:r>
      <w:r w:rsidRPr="008110F0">
        <w:rPr>
          <w:rFonts w:cs="Times New Roman" w:hint="eastAsia"/>
          <w:bCs/>
          <w:color w:val="auto"/>
          <w:szCs w:val="24"/>
        </w:rPr>
        <w:t>津环保监测</w:t>
      </w:r>
      <w:r w:rsidRPr="008110F0">
        <w:rPr>
          <w:rFonts w:cs="Times New Roman" w:hint="eastAsia"/>
          <w:bCs/>
          <w:color w:val="auto"/>
          <w:szCs w:val="24"/>
        </w:rPr>
        <w:t>[200</w:t>
      </w:r>
      <w:r>
        <w:rPr>
          <w:rFonts w:cs="Times New Roman" w:hint="eastAsia"/>
          <w:bCs/>
          <w:color w:val="auto"/>
          <w:szCs w:val="24"/>
        </w:rPr>
        <w:t>7</w:t>
      </w:r>
      <w:r w:rsidRPr="008110F0">
        <w:rPr>
          <w:rFonts w:cs="Times New Roman" w:hint="eastAsia"/>
          <w:bCs/>
          <w:color w:val="auto"/>
          <w:szCs w:val="24"/>
        </w:rPr>
        <w:t>]57</w:t>
      </w:r>
      <w:r w:rsidRPr="008110F0">
        <w:rPr>
          <w:rFonts w:cs="Times New Roman" w:hint="eastAsia"/>
          <w:bCs/>
          <w:color w:val="auto"/>
          <w:szCs w:val="24"/>
        </w:rPr>
        <w:t>号关于发布《天津市污染源排放口规范化技术要求》的通知；</w:t>
      </w:r>
    </w:p>
    <w:p w:rsidR="008110F0" w:rsidRPr="008110F0" w:rsidRDefault="008110F0" w:rsidP="008110F0">
      <w:pPr>
        <w:ind w:firstLine="480"/>
        <w:rPr>
          <w:rFonts w:cs="Times New Roman"/>
          <w:bCs/>
          <w:color w:val="auto"/>
          <w:szCs w:val="24"/>
        </w:rPr>
      </w:pPr>
      <w:r>
        <w:rPr>
          <w:rFonts w:cs="Times New Roman" w:hint="eastAsia"/>
          <w:bCs/>
          <w:color w:val="auto"/>
          <w:szCs w:val="24"/>
        </w:rPr>
        <w:t>（</w:t>
      </w:r>
      <w:r>
        <w:rPr>
          <w:rFonts w:cs="Times New Roman" w:hint="eastAsia"/>
          <w:bCs/>
          <w:color w:val="auto"/>
          <w:szCs w:val="24"/>
        </w:rPr>
        <w:t>9</w:t>
      </w:r>
      <w:r>
        <w:rPr>
          <w:rFonts w:cs="Times New Roman" w:hint="eastAsia"/>
          <w:bCs/>
          <w:color w:val="auto"/>
          <w:szCs w:val="24"/>
        </w:rPr>
        <w:t>）</w:t>
      </w:r>
      <w:r>
        <w:t>《天津市生活垃圾废弃物管理规定》（</w:t>
      </w:r>
      <w:r>
        <w:t>2018</w:t>
      </w:r>
      <w:r>
        <w:t>年</w:t>
      </w:r>
      <w:r>
        <w:t>5</w:t>
      </w:r>
      <w:r>
        <w:t>月</w:t>
      </w:r>
      <w:r>
        <w:t>1</w:t>
      </w:r>
      <w:r>
        <w:t>日起施行）；</w:t>
      </w:r>
    </w:p>
    <w:p w:rsidR="003E2173" w:rsidRDefault="004B0ECA">
      <w:pPr>
        <w:ind w:firstLine="480"/>
      </w:pPr>
      <w:r>
        <w:rPr>
          <w:rFonts w:hint="eastAsia"/>
        </w:rPr>
        <w:t>（</w:t>
      </w:r>
      <w:r w:rsidR="008110F0">
        <w:rPr>
          <w:rFonts w:hint="eastAsia"/>
        </w:rPr>
        <w:t>10</w:t>
      </w:r>
      <w:r>
        <w:rPr>
          <w:rFonts w:hint="eastAsia"/>
        </w:rPr>
        <w:t>）天津市人民政府令</w:t>
      </w:r>
      <w:r>
        <w:rPr>
          <w:rFonts w:hint="eastAsia"/>
        </w:rPr>
        <w:t>[2015]</w:t>
      </w:r>
      <w:r>
        <w:rPr>
          <w:rFonts w:hint="eastAsia"/>
        </w:rPr>
        <w:t>第</w:t>
      </w:r>
      <w:r>
        <w:rPr>
          <w:rFonts w:hint="eastAsia"/>
        </w:rPr>
        <w:t>20</w:t>
      </w:r>
      <w:r>
        <w:rPr>
          <w:rFonts w:hint="eastAsia"/>
        </w:rPr>
        <w:t>号《天津市建设项目环境保护管理办法》；</w:t>
      </w:r>
    </w:p>
    <w:p w:rsidR="003E2173" w:rsidRDefault="004B0ECA">
      <w:pPr>
        <w:ind w:firstLine="480"/>
      </w:pPr>
      <w:r>
        <w:t>（</w:t>
      </w:r>
      <w:r w:rsidR="008110F0">
        <w:t>11</w:t>
      </w:r>
      <w:r>
        <w:t>）天津市气象科学研究所编制的《天津君恒投资有限公司东丽建材</w:t>
      </w:r>
      <w:r>
        <w:t>D</w:t>
      </w:r>
      <w:r>
        <w:t>地块项目（变更）环境影响报告表》（</w:t>
      </w:r>
      <w:r>
        <w:t>2012</w:t>
      </w:r>
      <w:r>
        <w:t>年</w:t>
      </w:r>
      <w:r>
        <w:t>4</w:t>
      </w:r>
      <w:r>
        <w:t>月）；</w:t>
      </w:r>
    </w:p>
    <w:p w:rsidR="003E2173" w:rsidRDefault="004B0ECA">
      <w:pPr>
        <w:ind w:firstLine="480"/>
      </w:pPr>
      <w:r>
        <w:t>（</w:t>
      </w:r>
      <w:r w:rsidR="008110F0">
        <w:t>12</w:t>
      </w:r>
      <w:r>
        <w:t>）天津市东丽区环境保护局《关于对天津君恒投资有限公司东丽建材</w:t>
      </w:r>
      <w:r>
        <w:t>D</w:t>
      </w:r>
      <w:r>
        <w:t>地块项目变更环境影响报告表的批复》（津丽环许可审</w:t>
      </w:r>
      <w:r>
        <w:t>[2012]047</w:t>
      </w:r>
      <w:r>
        <w:t>号）；</w:t>
      </w:r>
    </w:p>
    <w:p w:rsidR="003E2173" w:rsidRDefault="004B0ECA">
      <w:pPr>
        <w:ind w:firstLine="480"/>
      </w:pPr>
      <w:r>
        <w:t>（</w:t>
      </w:r>
      <w:r w:rsidR="008110F0">
        <w:t>13</w:t>
      </w:r>
      <w:r>
        <w:t>）天津君恒投资有限公司提供的本项目有关基础资料及其它各种批复文件；</w:t>
      </w:r>
    </w:p>
    <w:p w:rsidR="003E2173" w:rsidRDefault="004B0ECA">
      <w:pPr>
        <w:pStyle w:val="1"/>
      </w:pPr>
      <w:bookmarkStart w:id="3" w:name="_Toc523513191"/>
      <w:bookmarkStart w:id="4" w:name="_Toc511079741"/>
      <w:bookmarkStart w:id="5" w:name="_Toc509579536"/>
      <w:r>
        <w:rPr>
          <w:rFonts w:hint="eastAsia"/>
        </w:rPr>
        <w:lastRenderedPageBreak/>
        <w:t>3</w:t>
      </w:r>
      <w:r>
        <w:rPr>
          <w:rFonts w:hint="eastAsia"/>
        </w:rPr>
        <w:t>、工程建设情况</w:t>
      </w:r>
      <w:bookmarkEnd w:id="3"/>
    </w:p>
    <w:p w:rsidR="003E2173" w:rsidRDefault="004B0ECA">
      <w:pPr>
        <w:pStyle w:val="2"/>
      </w:pPr>
      <w:r>
        <w:rPr>
          <w:rFonts w:hint="eastAsia"/>
        </w:rPr>
        <w:t>3.1</w:t>
      </w:r>
      <w:r>
        <w:rPr>
          <w:rFonts w:hint="eastAsia"/>
        </w:rPr>
        <w:t>地理位置及平面布置</w:t>
      </w:r>
    </w:p>
    <w:p w:rsidR="003E2173" w:rsidRPr="00124D8B" w:rsidRDefault="004B0ECA">
      <w:pPr>
        <w:ind w:firstLine="480"/>
        <w:rPr>
          <w:rFonts w:ascii="Arial" w:hAnsi="Arial" w:cs="Arial"/>
          <w:color w:val="FF0000"/>
          <w:sz w:val="18"/>
          <w:szCs w:val="18"/>
        </w:rPr>
      </w:pPr>
      <w:r>
        <w:rPr>
          <w:rFonts w:hint="eastAsia"/>
        </w:rPr>
        <w:t>本项目位于</w:t>
      </w:r>
      <w:r>
        <w:t>天津市东丽区</w:t>
      </w:r>
      <w:r>
        <w:rPr>
          <w:rFonts w:hint="eastAsia"/>
        </w:rPr>
        <w:t>新立街</w:t>
      </w:r>
      <w:r>
        <w:t>津塘公路与规划日</w:t>
      </w:r>
      <w:r>
        <w:rPr>
          <w:rFonts w:hint="eastAsia"/>
        </w:rPr>
        <w:t>新</w:t>
      </w:r>
      <w:r>
        <w:t>路交口处</w:t>
      </w:r>
      <w:r>
        <w:rPr>
          <w:rFonts w:hint="eastAsia"/>
        </w:rPr>
        <w:t>东</w:t>
      </w:r>
      <w:r>
        <w:t>北侧，属于新建项目，本项目</w:t>
      </w:r>
      <w:r>
        <w:rPr>
          <w:color w:val="auto"/>
        </w:rPr>
        <w:t>总投资</w:t>
      </w:r>
      <w:r>
        <w:rPr>
          <w:color w:val="auto"/>
        </w:rPr>
        <w:t>13680</w:t>
      </w:r>
      <w:r>
        <w:rPr>
          <w:rFonts w:hint="eastAsia"/>
          <w:color w:val="auto"/>
        </w:rPr>
        <w:t>万元，</w:t>
      </w:r>
      <w:r>
        <w:rPr>
          <w:color w:val="auto"/>
        </w:rPr>
        <w:t>实际环保投资</w:t>
      </w:r>
      <w:r>
        <w:rPr>
          <w:rFonts w:hint="eastAsia"/>
          <w:color w:val="auto"/>
        </w:rPr>
        <w:t>人民币</w:t>
      </w:r>
      <w:r>
        <w:rPr>
          <w:color w:val="auto"/>
        </w:rPr>
        <w:t>140</w:t>
      </w:r>
      <w:r>
        <w:rPr>
          <w:rFonts w:hint="eastAsia"/>
          <w:color w:val="auto"/>
        </w:rPr>
        <w:t>万</w:t>
      </w:r>
      <w:r>
        <w:rPr>
          <w:color w:val="auto"/>
        </w:rPr>
        <w:t>元，</w:t>
      </w:r>
      <w:r>
        <w:rPr>
          <w:rFonts w:hint="eastAsia"/>
          <w:color w:val="auto"/>
        </w:rPr>
        <w:t>其中</w:t>
      </w:r>
      <w:r>
        <w:rPr>
          <w:color w:val="auto"/>
        </w:rPr>
        <w:t>固体废物环保投</w:t>
      </w:r>
      <w:r w:rsidRPr="008D729A">
        <w:rPr>
          <w:color w:val="auto"/>
        </w:rPr>
        <w:t>资</w:t>
      </w:r>
      <w:r w:rsidR="008D729A" w:rsidRPr="008D729A">
        <w:rPr>
          <w:rFonts w:hint="eastAsia"/>
          <w:color w:val="auto"/>
        </w:rPr>
        <w:t>15</w:t>
      </w:r>
      <w:r w:rsidRPr="008D729A">
        <w:rPr>
          <w:rFonts w:hint="eastAsia"/>
          <w:color w:val="auto"/>
        </w:rPr>
        <w:t>万元</w:t>
      </w:r>
      <w:r w:rsidRPr="008D729A">
        <w:rPr>
          <w:color w:val="auto"/>
        </w:rPr>
        <w:t>，占</w:t>
      </w:r>
      <w:r w:rsidRPr="008D729A">
        <w:rPr>
          <w:rFonts w:hint="eastAsia"/>
          <w:color w:val="auto"/>
        </w:rPr>
        <w:t>投资总额</w:t>
      </w:r>
      <w:r w:rsidRPr="008D729A">
        <w:rPr>
          <w:color w:val="auto"/>
        </w:rPr>
        <w:t>的</w:t>
      </w:r>
      <w:r w:rsidRPr="008D729A">
        <w:rPr>
          <w:color w:val="auto"/>
        </w:rPr>
        <w:t>0.</w:t>
      </w:r>
      <w:r w:rsidR="008D729A" w:rsidRPr="008D729A">
        <w:rPr>
          <w:color w:val="auto"/>
        </w:rPr>
        <w:t>1</w:t>
      </w:r>
      <w:r w:rsidRPr="008D729A">
        <w:rPr>
          <w:color w:val="auto"/>
        </w:rPr>
        <w:t>%</w:t>
      </w:r>
      <w:r w:rsidRPr="008D729A">
        <w:rPr>
          <w:rFonts w:hint="eastAsia"/>
          <w:color w:val="auto"/>
        </w:rPr>
        <w:t>。</w:t>
      </w:r>
    </w:p>
    <w:p w:rsidR="003E2173" w:rsidRDefault="004B0ECA">
      <w:pPr>
        <w:ind w:firstLine="480"/>
        <w:rPr>
          <w:rFonts w:cs="Times New Roman"/>
          <w:color w:val="FF0000"/>
          <w:szCs w:val="24"/>
        </w:rPr>
      </w:pPr>
      <w:r>
        <w:rPr>
          <w:rFonts w:hint="eastAsia"/>
        </w:rPr>
        <w:t>本项目四至：</w:t>
      </w:r>
      <w:r>
        <w:rPr>
          <w:rFonts w:cs="Times New Roman" w:hint="eastAsia"/>
          <w:color w:val="171717" w:themeColor="background2" w:themeShade="1A"/>
          <w:szCs w:val="24"/>
        </w:rPr>
        <w:t>东至二经路</w:t>
      </w:r>
      <w:r>
        <w:rPr>
          <w:rFonts w:cs="Times New Roman"/>
          <w:color w:val="171717" w:themeColor="background2" w:themeShade="1A"/>
          <w:szCs w:val="24"/>
        </w:rPr>
        <w:t>，西至</w:t>
      </w:r>
      <w:r>
        <w:rPr>
          <w:rFonts w:cs="Times New Roman" w:hint="eastAsia"/>
          <w:color w:val="171717" w:themeColor="background2" w:themeShade="1A"/>
          <w:szCs w:val="24"/>
        </w:rPr>
        <w:t>驯海路</w:t>
      </w:r>
      <w:r>
        <w:rPr>
          <w:rFonts w:cs="Times New Roman"/>
          <w:color w:val="171717" w:themeColor="background2" w:themeShade="1A"/>
          <w:szCs w:val="24"/>
        </w:rPr>
        <w:t>，南至</w:t>
      </w:r>
      <w:r>
        <w:rPr>
          <w:rFonts w:cs="Times New Roman" w:hint="eastAsia"/>
          <w:color w:val="171717" w:themeColor="background2" w:themeShade="1A"/>
          <w:szCs w:val="24"/>
        </w:rPr>
        <w:t>津塘</w:t>
      </w:r>
      <w:r>
        <w:t>公路</w:t>
      </w:r>
      <w:r w:rsidRPr="00124D8B">
        <w:rPr>
          <w:rFonts w:cs="Times New Roman"/>
          <w:color w:val="auto"/>
          <w:szCs w:val="24"/>
        </w:rPr>
        <w:t>，北至</w:t>
      </w:r>
      <w:r w:rsidRPr="00124D8B">
        <w:rPr>
          <w:rFonts w:cs="Times New Roman" w:hint="eastAsia"/>
          <w:color w:val="auto"/>
          <w:szCs w:val="24"/>
        </w:rPr>
        <w:t>京山铁路</w:t>
      </w:r>
      <w:r w:rsidRPr="00124D8B">
        <w:rPr>
          <w:rFonts w:cs="Times New Roman" w:hint="eastAsia"/>
          <w:color w:val="auto"/>
          <w:szCs w:val="24"/>
        </w:rPr>
        <w:t>(</w:t>
      </w:r>
      <w:r w:rsidR="00893027">
        <w:rPr>
          <w:rFonts w:cs="Times New Roman"/>
          <w:color w:val="auto"/>
          <w:szCs w:val="24"/>
        </w:rPr>
        <w:t>550</w:t>
      </w:r>
      <w:r w:rsidR="00A11E20" w:rsidRPr="00124D8B">
        <w:rPr>
          <w:rFonts w:cs="Times New Roman"/>
          <w:color w:val="auto"/>
          <w:szCs w:val="24"/>
        </w:rPr>
        <w:t>m</w:t>
      </w:r>
      <w:r w:rsidRPr="00124D8B">
        <w:rPr>
          <w:rFonts w:cs="Times New Roman" w:hint="eastAsia"/>
          <w:color w:val="auto"/>
          <w:szCs w:val="24"/>
        </w:rPr>
        <w:t>内</w:t>
      </w:r>
      <w:r w:rsidRPr="00124D8B">
        <w:rPr>
          <w:rFonts w:cs="Times New Roman"/>
          <w:color w:val="auto"/>
          <w:szCs w:val="24"/>
        </w:rPr>
        <w:t>为空地</w:t>
      </w:r>
      <w:r w:rsidRPr="00124D8B">
        <w:rPr>
          <w:rFonts w:cs="Times New Roman" w:hint="eastAsia"/>
          <w:color w:val="auto"/>
          <w:szCs w:val="24"/>
        </w:rPr>
        <w:t>)</w:t>
      </w:r>
      <w:r w:rsidRPr="00124D8B">
        <w:rPr>
          <w:rFonts w:cs="Times New Roman" w:hint="eastAsia"/>
          <w:color w:val="auto"/>
          <w:szCs w:val="24"/>
        </w:rPr>
        <w:t>。</w:t>
      </w:r>
      <w:r w:rsidR="00124D8B" w:rsidRPr="00124D8B">
        <w:rPr>
          <w:rFonts w:cs="Times New Roman" w:hint="eastAsia"/>
          <w:color w:val="auto"/>
          <w:szCs w:val="24"/>
        </w:rPr>
        <w:t>地理位置详见附图</w:t>
      </w:r>
      <w:r w:rsidR="00124D8B" w:rsidRPr="00124D8B">
        <w:rPr>
          <w:rFonts w:cs="Times New Roman" w:hint="eastAsia"/>
          <w:color w:val="auto"/>
          <w:szCs w:val="24"/>
        </w:rPr>
        <w:t>1</w:t>
      </w:r>
      <w:r w:rsidR="00124D8B" w:rsidRPr="00124D8B">
        <w:rPr>
          <w:rFonts w:cs="Times New Roman" w:hint="eastAsia"/>
          <w:color w:val="auto"/>
          <w:szCs w:val="24"/>
        </w:rPr>
        <w:t>，周边环境详见附图</w:t>
      </w:r>
      <w:r w:rsidR="00124D8B" w:rsidRPr="00124D8B">
        <w:rPr>
          <w:rFonts w:cs="Times New Roman" w:hint="eastAsia"/>
          <w:color w:val="auto"/>
          <w:szCs w:val="24"/>
        </w:rPr>
        <w:t>2</w:t>
      </w:r>
      <w:r w:rsidR="00124D8B" w:rsidRPr="00124D8B">
        <w:rPr>
          <w:rFonts w:cs="Times New Roman" w:hint="eastAsia"/>
          <w:color w:val="auto"/>
          <w:szCs w:val="24"/>
        </w:rPr>
        <w:t>。</w:t>
      </w:r>
    </w:p>
    <w:p w:rsidR="003E2173" w:rsidRDefault="004B0ECA">
      <w:pPr>
        <w:pStyle w:val="2"/>
      </w:pPr>
      <w:r>
        <w:rPr>
          <w:rFonts w:hint="eastAsia"/>
        </w:rPr>
        <w:t>3.2</w:t>
      </w:r>
      <w:r>
        <w:rPr>
          <w:rFonts w:hint="eastAsia"/>
        </w:rPr>
        <w:t>工程建设内容</w:t>
      </w:r>
    </w:p>
    <w:bookmarkEnd w:id="4"/>
    <w:bookmarkEnd w:id="5"/>
    <w:p w:rsidR="003E2173" w:rsidRDefault="004B0ECA">
      <w:pPr>
        <w:ind w:firstLine="480"/>
      </w:pPr>
      <w:r>
        <w:rPr>
          <w:rFonts w:hint="eastAsia"/>
        </w:rPr>
        <w:t>本项目主要建设内容包括：</w:t>
      </w:r>
      <w:r>
        <w:t>1</w:t>
      </w:r>
      <w:r>
        <w:t>栋</w:t>
      </w:r>
      <w:r>
        <w:t>11</w:t>
      </w:r>
      <w:r>
        <w:t>层住宅楼（</w:t>
      </w:r>
      <w:r>
        <w:t>1#</w:t>
      </w:r>
      <w:r>
        <w:t>）</w:t>
      </w:r>
      <w:r>
        <w:rPr>
          <w:rFonts w:hint="eastAsia"/>
        </w:rPr>
        <w:t>、</w:t>
      </w:r>
      <w:r>
        <w:t>1</w:t>
      </w:r>
      <w:r>
        <w:t>栋</w:t>
      </w:r>
      <w:r>
        <w:t>10</w:t>
      </w:r>
      <w:r>
        <w:t>层住宅楼（</w:t>
      </w:r>
      <w:r>
        <w:t>2#</w:t>
      </w:r>
      <w:r>
        <w:t>）、</w:t>
      </w:r>
      <w:r>
        <w:t>3</w:t>
      </w:r>
      <w:r>
        <w:t>栋</w:t>
      </w:r>
      <w:r>
        <w:t>7</w:t>
      </w:r>
      <w:r>
        <w:t>层住宅楼（</w:t>
      </w:r>
      <w:r>
        <w:t>3#~5#</w:t>
      </w:r>
      <w:r>
        <w:t>）、</w:t>
      </w:r>
      <w:r>
        <w:t>3</w:t>
      </w:r>
      <w:r>
        <w:t>栋</w:t>
      </w:r>
      <w:r>
        <w:t>14</w:t>
      </w:r>
      <w:r>
        <w:t>层住宅楼（</w:t>
      </w:r>
      <w:r>
        <w:t>6#~8#</w:t>
      </w:r>
      <w:r>
        <w:t>）</w:t>
      </w:r>
      <w:r>
        <w:rPr>
          <w:rFonts w:hint="eastAsia"/>
        </w:rPr>
        <w:t>，</w:t>
      </w:r>
      <w:r>
        <w:t>共</w:t>
      </w:r>
      <w:r>
        <w:rPr>
          <w:rFonts w:hint="eastAsia"/>
        </w:rPr>
        <w:t>8</w:t>
      </w:r>
      <w:r>
        <w:rPr>
          <w:rFonts w:hint="eastAsia"/>
        </w:rPr>
        <w:t>栋</w:t>
      </w:r>
      <w:r>
        <w:t>住宅楼。</w:t>
      </w:r>
    </w:p>
    <w:p w:rsidR="003E2173" w:rsidRDefault="004B0ECA">
      <w:pPr>
        <w:ind w:firstLine="480"/>
      </w:pPr>
      <w:r>
        <w:t>（</w:t>
      </w:r>
      <w:r>
        <w:t>1</w:t>
      </w:r>
      <w:r>
        <w:t>）本项目总占地面积</w:t>
      </w:r>
      <w:r>
        <w:t>25070m</w:t>
      </w:r>
      <w:r>
        <w:rPr>
          <w:vertAlign w:val="superscript"/>
        </w:rPr>
        <w:t>2</w:t>
      </w:r>
      <w:r>
        <w:t>，总建筑面积</w:t>
      </w:r>
      <w:r>
        <w:t>35885m</w:t>
      </w:r>
      <w:r>
        <w:rPr>
          <w:vertAlign w:val="superscript"/>
        </w:rPr>
        <w:t>2</w:t>
      </w:r>
      <w:r>
        <w:t>，其中地上建筑面积</w:t>
      </w:r>
      <w:r>
        <w:t>34650m</w:t>
      </w:r>
      <w:r>
        <w:rPr>
          <w:vertAlign w:val="superscript"/>
        </w:rPr>
        <w:t>2</w:t>
      </w:r>
      <w:r>
        <w:t>，配套地下建筑面积</w:t>
      </w:r>
      <w:r>
        <w:t>1535 m</w:t>
      </w:r>
      <w:r>
        <w:rPr>
          <w:vertAlign w:val="superscript"/>
        </w:rPr>
        <w:t>2</w:t>
      </w:r>
      <w:r>
        <w:t>；住宅建筑面积</w:t>
      </w:r>
      <w:r>
        <w:t>34310 m</w:t>
      </w:r>
      <w:r>
        <w:rPr>
          <w:vertAlign w:val="superscript"/>
        </w:rPr>
        <w:t>2</w:t>
      </w:r>
      <w:r>
        <w:t>，配套公建建筑面积</w:t>
      </w:r>
      <w:r>
        <w:t>340 m</w:t>
      </w:r>
      <w:r>
        <w:rPr>
          <w:vertAlign w:val="superscript"/>
        </w:rPr>
        <w:t>2</w:t>
      </w:r>
      <w:r>
        <w:rPr>
          <w:rFonts w:hint="eastAsia"/>
        </w:rPr>
        <w:t>。</w:t>
      </w:r>
      <w:r>
        <w:t>主要经济技术指标见表</w:t>
      </w:r>
      <w:r>
        <w:t xml:space="preserve"> </w:t>
      </w:r>
      <w:r w:rsidR="00DA5C35">
        <w:rPr>
          <w:rFonts w:eastAsia="Times New Roman" w:cs="Times New Roman"/>
        </w:rPr>
        <w:t>3</w:t>
      </w:r>
      <w:r>
        <w:rPr>
          <w:rFonts w:eastAsia="Times New Roman" w:cs="Times New Roman"/>
        </w:rPr>
        <w:t>-1</w:t>
      </w:r>
      <w:r>
        <w:t>。</w:t>
      </w:r>
    </w:p>
    <w:p w:rsidR="003E2173" w:rsidRDefault="004B0ECA">
      <w:pPr>
        <w:ind w:firstLineChars="0" w:firstLine="0"/>
        <w:jc w:val="center"/>
      </w:pPr>
      <w:r>
        <w:t>表</w:t>
      </w:r>
      <w:r>
        <w:rPr>
          <w:rFonts w:cs="Times New Roman"/>
        </w:rPr>
        <w:t xml:space="preserve">3-1 </w:t>
      </w:r>
      <w:r>
        <w:t>主要经济技术指标表</w:t>
      </w:r>
    </w:p>
    <w:tbl>
      <w:tblPr>
        <w:tblStyle w:val="11"/>
        <w:tblW w:w="8522" w:type="dxa"/>
        <w:jc w:val="center"/>
        <w:tblLayout w:type="fixed"/>
        <w:tblLook w:val="04A0"/>
      </w:tblPr>
      <w:tblGrid>
        <w:gridCol w:w="666"/>
        <w:gridCol w:w="670"/>
        <w:gridCol w:w="1607"/>
        <w:gridCol w:w="1904"/>
        <w:gridCol w:w="1703"/>
        <w:gridCol w:w="1972"/>
      </w:tblGrid>
      <w:tr w:rsidR="003E2173" w:rsidRPr="00893027" w:rsidTr="00893027">
        <w:trPr>
          <w:trHeight w:val="64"/>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项目</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单位</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数值</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备注</w:t>
            </w:r>
          </w:p>
        </w:tc>
      </w:tr>
      <w:tr w:rsidR="003E2173" w:rsidRPr="00893027" w:rsidTr="00893027">
        <w:trPr>
          <w:trHeight w:val="64"/>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总建筑面积</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vertAlign w:val="superscript"/>
              </w:rPr>
            </w:pPr>
            <w:r w:rsidRPr="00893027">
              <w:rPr>
                <w:rFonts w:cs="Times New Roman"/>
                <w:sz w:val="21"/>
                <w:szCs w:val="21"/>
              </w:rPr>
              <w:t>35885</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rsidTr="00893027">
        <w:trPr>
          <w:trHeight w:val="64"/>
          <w:jc w:val="center"/>
        </w:trPr>
        <w:tc>
          <w:tcPr>
            <w:tcW w:w="666" w:type="dxa"/>
            <w:vMerge w:val="restart"/>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其中</w:t>
            </w:r>
          </w:p>
        </w:tc>
        <w:tc>
          <w:tcPr>
            <w:tcW w:w="2277" w:type="dxa"/>
            <w:gridSpan w:val="2"/>
            <w:tcBorders>
              <w:bottom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地上建筑面积</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34650</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rsidTr="00893027">
        <w:trPr>
          <w:trHeight w:val="64"/>
          <w:jc w:val="center"/>
        </w:trPr>
        <w:tc>
          <w:tcPr>
            <w:tcW w:w="666" w:type="dxa"/>
            <w:vMerge/>
            <w:vAlign w:val="center"/>
          </w:tcPr>
          <w:p w:rsidR="003E2173" w:rsidRPr="00893027" w:rsidRDefault="003E2173" w:rsidP="00893027">
            <w:pPr>
              <w:spacing w:line="240" w:lineRule="auto"/>
              <w:ind w:firstLineChars="0" w:firstLine="0"/>
              <w:jc w:val="center"/>
              <w:rPr>
                <w:rFonts w:cs="Times New Roman"/>
                <w:sz w:val="21"/>
                <w:szCs w:val="21"/>
              </w:rPr>
            </w:pPr>
          </w:p>
        </w:tc>
        <w:tc>
          <w:tcPr>
            <w:tcW w:w="670" w:type="dxa"/>
            <w:vMerge w:val="restart"/>
            <w:tcBorders>
              <w:top w:val="single" w:sz="4" w:space="0" w:color="auto"/>
              <w:right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其中</w:t>
            </w:r>
          </w:p>
        </w:tc>
        <w:tc>
          <w:tcPr>
            <w:tcW w:w="1607" w:type="dxa"/>
            <w:tcBorders>
              <w:top w:val="single" w:sz="4" w:space="0" w:color="auto"/>
              <w:bottom w:val="nil"/>
              <w:right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住宅建筑面积</w:t>
            </w:r>
          </w:p>
        </w:tc>
        <w:tc>
          <w:tcPr>
            <w:tcW w:w="1904" w:type="dxa"/>
            <w:tcBorders>
              <w:left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34310</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rsidTr="00893027">
        <w:trPr>
          <w:trHeight w:val="64"/>
          <w:jc w:val="center"/>
        </w:trPr>
        <w:tc>
          <w:tcPr>
            <w:tcW w:w="666" w:type="dxa"/>
            <w:vMerge/>
            <w:vAlign w:val="center"/>
          </w:tcPr>
          <w:p w:rsidR="003E2173" w:rsidRPr="00893027" w:rsidRDefault="003E2173" w:rsidP="00893027">
            <w:pPr>
              <w:spacing w:line="240" w:lineRule="auto"/>
              <w:ind w:firstLineChars="0" w:firstLine="0"/>
              <w:jc w:val="center"/>
              <w:rPr>
                <w:rFonts w:cs="Times New Roman"/>
                <w:sz w:val="21"/>
                <w:szCs w:val="21"/>
              </w:rPr>
            </w:pPr>
          </w:p>
        </w:tc>
        <w:tc>
          <w:tcPr>
            <w:tcW w:w="670" w:type="dxa"/>
            <w:vMerge/>
            <w:tcBorders>
              <w:right w:val="single" w:sz="4" w:space="0" w:color="auto"/>
            </w:tcBorders>
            <w:vAlign w:val="center"/>
          </w:tcPr>
          <w:p w:rsidR="003E2173" w:rsidRPr="00893027" w:rsidRDefault="003E2173" w:rsidP="00893027">
            <w:pPr>
              <w:spacing w:line="240" w:lineRule="auto"/>
              <w:ind w:firstLineChars="0" w:firstLine="0"/>
              <w:jc w:val="center"/>
              <w:rPr>
                <w:rFonts w:cs="Times New Roman"/>
                <w:sz w:val="21"/>
                <w:szCs w:val="21"/>
              </w:rPr>
            </w:pPr>
          </w:p>
        </w:tc>
        <w:tc>
          <w:tcPr>
            <w:tcW w:w="1607" w:type="dxa"/>
            <w:tcBorders>
              <w:top w:val="single" w:sz="4" w:space="0" w:color="auto"/>
              <w:left w:val="single" w:sz="4" w:space="0" w:color="auto"/>
              <w:bottom w:val="single" w:sz="4" w:space="0" w:color="auto"/>
              <w:right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公建建筑面积（地上部分）</w:t>
            </w:r>
          </w:p>
        </w:tc>
        <w:tc>
          <w:tcPr>
            <w:tcW w:w="1904" w:type="dxa"/>
            <w:tcBorders>
              <w:left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340</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666" w:type="dxa"/>
            <w:vMerge/>
            <w:vAlign w:val="center"/>
          </w:tcPr>
          <w:p w:rsidR="003E2173" w:rsidRPr="00893027" w:rsidRDefault="003E2173" w:rsidP="00893027">
            <w:pPr>
              <w:spacing w:line="240" w:lineRule="auto"/>
              <w:ind w:firstLineChars="0" w:firstLine="0"/>
              <w:jc w:val="center"/>
              <w:rPr>
                <w:rFonts w:cs="Times New Roman"/>
                <w:sz w:val="21"/>
                <w:szCs w:val="21"/>
              </w:rPr>
            </w:pPr>
          </w:p>
        </w:tc>
        <w:tc>
          <w:tcPr>
            <w:tcW w:w="2277" w:type="dxa"/>
            <w:gridSpan w:val="2"/>
            <w:tcBorders>
              <w:bottom w:val="single" w:sz="4" w:space="0" w:color="auto"/>
              <w:right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地下建筑面积</w:t>
            </w:r>
          </w:p>
        </w:tc>
        <w:tc>
          <w:tcPr>
            <w:tcW w:w="1904" w:type="dxa"/>
            <w:tcBorders>
              <w:left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1535</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666" w:type="dxa"/>
            <w:vMerge/>
            <w:vAlign w:val="center"/>
          </w:tcPr>
          <w:p w:rsidR="003E2173" w:rsidRPr="00893027" w:rsidRDefault="003E2173" w:rsidP="00893027">
            <w:pPr>
              <w:spacing w:line="240" w:lineRule="auto"/>
              <w:ind w:firstLineChars="0" w:firstLine="0"/>
              <w:jc w:val="center"/>
              <w:rPr>
                <w:rFonts w:cs="Times New Roman"/>
                <w:sz w:val="21"/>
                <w:szCs w:val="21"/>
              </w:rPr>
            </w:pPr>
          </w:p>
        </w:tc>
        <w:tc>
          <w:tcPr>
            <w:tcW w:w="670" w:type="dxa"/>
            <w:vMerge w:val="restart"/>
            <w:tcBorders>
              <w:top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其中</w:t>
            </w:r>
          </w:p>
        </w:tc>
        <w:tc>
          <w:tcPr>
            <w:tcW w:w="1607" w:type="dxa"/>
            <w:tcBorders>
              <w:top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住宅楼地下室</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1160</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666" w:type="dxa"/>
            <w:vMerge/>
            <w:vAlign w:val="center"/>
          </w:tcPr>
          <w:p w:rsidR="003E2173" w:rsidRPr="00893027" w:rsidRDefault="003E2173" w:rsidP="00893027">
            <w:pPr>
              <w:spacing w:line="240" w:lineRule="auto"/>
              <w:ind w:firstLineChars="0" w:firstLine="0"/>
              <w:jc w:val="center"/>
              <w:rPr>
                <w:rFonts w:cs="Times New Roman"/>
                <w:sz w:val="21"/>
                <w:szCs w:val="21"/>
              </w:rPr>
            </w:pPr>
          </w:p>
        </w:tc>
        <w:tc>
          <w:tcPr>
            <w:tcW w:w="670" w:type="dxa"/>
            <w:vMerge/>
            <w:vAlign w:val="center"/>
          </w:tcPr>
          <w:p w:rsidR="003E2173" w:rsidRPr="00893027" w:rsidRDefault="003E2173" w:rsidP="00893027">
            <w:pPr>
              <w:spacing w:line="240" w:lineRule="auto"/>
              <w:ind w:firstLineChars="0" w:firstLine="0"/>
              <w:jc w:val="center"/>
              <w:rPr>
                <w:rFonts w:cs="Times New Roman"/>
                <w:sz w:val="21"/>
                <w:szCs w:val="21"/>
              </w:rPr>
            </w:pPr>
          </w:p>
        </w:tc>
        <w:tc>
          <w:tcPr>
            <w:tcW w:w="1607"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公建建筑面积（地下部分）</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425</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建筑密度</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19.65</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平均每户建筑面积</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m</w:t>
            </w:r>
            <w:r w:rsidRPr="00893027">
              <w:rPr>
                <w:rFonts w:cs="Times New Roman"/>
                <w:sz w:val="21"/>
                <w:szCs w:val="21"/>
                <w:vertAlign w:val="superscript"/>
              </w:rPr>
              <w:t>2</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99.43</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绿地率</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40.07</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容积率</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1.39</w:t>
            </w:r>
          </w:p>
        </w:tc>
        <w:tc>
          <w:tcPr>
            <w:tcW w:w="1972"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w:t>
            </w:r>
          </w:p>
        </w:tc>
      </w:tr>
      <w:tr w:rsidR="003E2173" w:rsidRPr="00893027">
        <w:trPr>
          <w:trHeight w:val="340"/>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机动车停车数</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辆</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204</w:t>
            </w:r>
          </w:p>
        </w:tc>
        <w:tc>
          <w:tcPr>
            <w:tcW w:w="1972" w:type="dxa"/>
            <w:tcBorders>
              <w:bottom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全部地上</w:t>
            </w:r>
          </w:p>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其中有</w:t>
            </w:r>
            <w:r w:rsidRPr="00893027">
              <w:rPr>
                <w:rFonts w:cs="Times New Roman"/>
                <w:sz w:val="21"/>
                <w:szCs w:val="21"/>
              </w:rPr>
              <w:t>4</w:t>
            </w:r>
            <w:r w:rsidRPr="00893027">
              <w:rPr>
                <w:rFonts w:cs="Times New Roman"/>
                <w:sz w:val="21"/>
                <w:szCs w:val="21"/>
              </w:rPr>
              <w:t>个出租位，</w:t>
            </w:r>
            <w:r w:rsidRPr="00893027">
              <w:rPr>
                <w:rFonts w:cs="Times New Roman"/>
                <w:sz w:val="21"/>
                <w:szCs w:val="21"/>
              </w:rPr>
              <w:t>1</w:t>
            </w:r>
            <w:r w:rsidRPr="00893027">
              <w:rPr>
                <w:rFonts w:cs="Times New Roman"/>
                <w:sz w:val="21"/>
                <w:szCs w:val="21"/>
              </w:rPr>
              <w:t>个装卸车位</w:t>
            </w:r>
          </w:p>
        </w:tc>
      </w:tr>
      <w:tr w:rsidR="003E2173" w:rsidRPr="00893027">
        <w:trPr>
          <w:trHeight w:val="340"/>
          <w:jc w:val="center"/>
        </w:trPr>
        <w:tc>
          <w:tcPr>
            <w:tcW w:w="2943" w:type="dxa"/>
            <w:gridSpan w:val="3"/>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非机动车停车数</w:t>
            </w:r>
          </w:p>
        </w:tc>
        <w:tc>
          <w:tcPr>
            <w:tcW w:w="1904"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辆</w:t>
            </w:r>
          </w:p>
        </w:tc>
        <w:tc>
          <w:tcPr>
            <w:tcW w:w="1703" w:type="dxa"/>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621</w:t>
            </w:r>
          </w:p>
        </w:tc>
        <w:tc>
          <w:tcPr>
            <w:tcW w:w="1972" w:type="dxa"/>
            <w:tcBorders>
              <w:bottom w:val="single" w:sz="4" w:space="0" w:color="auto"/>
            </w:tcBorders>
            <w:vAlign w:val="center"/>
          </w:tcPr>
          <w:p w:rsidR="003E2173" w:rsidRPr="00893027" w:rsidRDefault="004B0ECA" w:rsidP="00893027">
            <w:pPr>
              <w:spacing w:line="240" w:lineRule="auto"/>
              <w:ind w:firstLineChars="0" w:firstLine="0"/>
              <w:jc w:val="center"/>
              <w:rPr>
                <w:rFonts w:cs="Times New Roman"/>
                <w:sz w:val="21"/>
                <w:szCs w:val="21"/>
              </w:rPr>
            </w:pPr>
            <w:r w:rsidRPr="00893027">
              <w:rPr>
                <w:rFonts w:cs="Times New Roman"/>
                <w:sz w:val="21"/>
                <w:szCs w:val="21"/>
              </w:rPr>
              <w:t>地上</w:t>
            </w:r>
          </w:p>
        </w:tc>
      </w:tr>
    </w:tbl>
    <w:p w:rsidR="003E2173" w:rsidRDefault="004B0ECA">
      <w:pPr>
        <w:ind w:firstLine="480"/>
      </w:pPr>
      <w:r>
        <w:lastRenderedPageBreak/>
        <w:t>（</w:t>
      </w:r>
      <w:r>
        <w:t>2</w:t>
      </w:r>
      <w:r>
        <w:t>）配套公建，建筑面积</w:t>
      </w:r>
      <w:r>
        <w:t>765m</w:t>
      </w:r>
      <w:r>
        <w:rPr>
          <w:vertAlign w:val="superscript"/>
        </w:rPr>
        <w:t>2</w:t>
      </w:r>
      <w:r>
        <w:t>，分地上和地下两个部分。</w:t>
      </w:r>
    </w:p>
    <w:p w:rsidR="003E2173" w:rsidRDefault="004B0ECA">
      <w:pPr>
        <w:ind w:firstLine="480"/>
      </w:pPr>
      <w:r>
        <w:t>地上部分：公建</w:t>
      </w:r>
      <w:r>
        <w:t>1</w:t>
      </w:r>
      <w:r>
        <w:t>栋，共</w:t>
      </w:r>
      <w:r>
        <w:t>3</w:t>
      </w:r>
      <w:r>
        <w:t>层，建筑面积</w:t>
      </w:r>
      <w:r>
        <w:t>340m</w:t>
      </w:r>
      <w:r>
        <w:rPr>
          <w:vertAlign w:val="superscript"/>
        </w:rPr>
        <w:t>2</w:t>
      </w:r>
      <w:r>
        <w:t>，主要建设内容为物业管理用房、电讯设备间、便利店、</w:t>
      </w:r>
      <w:r>
        <w:t>10kV</w:t>
      </w:r>
      <w:r>
        <w:t>土建变电站、燃气调压柜；</w:t>
      </w:r>
    </w:p>
    <w:p w:rsidR="003E2173" w:rsidRDefault="004B0ECA">
      <w:pPr>
        <w:ind w:firstLine="480"/>
      </w:pPr>
      <w:r>
        <w:t>地下部分：建筑面积</w:t>
      </w:r>
      <w:r>
        <w:t>425m</w:t>
      </w:r>
      <w:r>
        <w:rPr>
          <w:vertAlign w:val="superscript"/>
        </w:rPr>
        <w:t>2</w:t>
      </w:r>
      <w:r>
        <w:t>，主要为换热站、消防泵房、消防水池、生活泵房、中水泵房。</w:t>
      </w:r>
      <w:r>
        <w:rPr>
          <w:rFonts w:hint="eastAsia"/>
        </w:rPr>
        <w:t>具体布置</w:t>
      </w:r>
      <w:r>
        <w:t>内容见表</w:t>
      </w:r>
      <w:r>
        <w:t>3-2</w:t>
      </w:r>
      <w:r>
        <w:t>。</w:t>
      </w:r>
    </w:p>
    <w:p w:rsidR="003E2173" w:rsidRDefault="004B0ECA">
      <w:pPr>
        <w:ind w:firstLineChars="0" w:firstLine="0"/>
        <w:jc w:val="center"/>
      </w:pPr>
      <w:r>
        <w:rPr>
          <w:rFonts w:hint="eastAsia"/>
        </w:rPr>
        <w:t>表</w:t>
      </w:r>
      <w:r>
        <w:rPr>
          <w:rFonts w:hint="eastAsia"/>
        </w:rPr>
        <w:t>3-2</w:t>
      </w:r>
      <w:r w:rsidR="00124D8B">
        <w:rPr>
          <w:rFonts w:hint="eastAsia"/>
        </w:rPr>
        <w:t xml:space="preserve"> </w:t>
      </w:r>
      <w:r>
        <w:rPr>
          <w:rFonts w:hint="eastAsia"/>
        </w:rPr>
        <w:t>配套公建一览表</w:t>
      </w:r>
    </w:p>
    <w:tbl>
      <w:tblPr>
        <w:tblStyle w:val="ac"/>
        <w:tblW w:w="8522" w:type="dxa"/>
        <w:jc w:val="center"/>
        <w:tblLayout w:type="fixed"/>
        <w:tblLook w:val="04A0"/>
      </w:tblPr>
      <w:tblGrid>
        <w:gridCol w:w="1198"/>
        <w:gridCol w:w="1880"/>
        <w:gridCol w:w="1205"/>
        <w:gridCol w:w="1207"/>
        <w:gridCol w:w="3032"/>
      </w:tblGrid>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编号</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项目</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数量（处）</w:t>
            </w:r>
          </w:p>
        </w:tc>
        <w:tc>
          <w:tcPr>
            <w:tcW w:w="1207"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建筑面积（</w:t>
            </w:r>
            <w:r>
              <w:rPr>
                <w:rFonts w:cs="Times New Roman"/>
                <w:kern w:val="0"/>
                <w:sz w:val="21"/>
                <w:szCs w:val="21"/>
              </w:rPr>
              <w:t>m</w:t>
            </w:r>
            <w:r>
              <w:rPr>
                <w:rFonts w:cs="Times New Roman"/>
                <w:kern w:val="0"/>
                <w:sz w:val="21"/>
                <w:szCs w:val="21"/>
                <w:vertAlign w:val="superscript"/>
              </w:rPr>
              <w:t>2</w:t>
            </w:r>
            <w:r>
              <w:rPr>
                <w:rFonts w:cs="Times New Roman"/>
                <w:kern w:val="0"/>
                <w:sz w:val="21"/>
                <w:szCs w:val="21"/>
              </w:rPr>
              <w:t>）</w:t>
            </w:r>
          </w:p>
        </w:tc>
        <w:tc>
          <w:tcPr>
            <w:tcW w:w="3032"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备注</w:t>
            </w: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物业管理用房（</w:t>
            </w:r>
            <w:r>
              <w:rPr>
                <w:rFonts w:cs="Times New Roman"/>
                <w:kern w:val="0"/>
                <w:sz w:val="21"/>
                <w:szCs w:val="21"/>
              </w:rPr>
              <w:t>3F</w:t>
            </w:r>
            <w:r>
              <w:rPr>
                <w:rFonts w:cs="Times New Roman"/>
                <w:kern w:val="0"/>
                <w:sz w:val="21"/>
                <w:szCs w:val="21"/>
              </w:rPr>
              <w:t>）</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100</w:t>
            </w:r>
          </w:p>
        </w:tc>
        <w:tc>
          <w:tcPr>
            <w:tcW w:w="3032" w:type="dxa"/>
            <w:vMerge w:val="restart"/>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地上公建</w:t>
            </w:r>
            <w:r>
              <w:rPr>
                <w:rFonts w:cs="Times New Roman"/>
                <w:kern w:val="0"/>
                <w:sz w:val="21"/>
                <w:szCs w:val="21"/>
              </w:rPr>
              <w:t>1</w:t>
            </w:r>
            <w:r>
              <w:rPr>
                <w:rFonts w:cs="Times New Roman"/>
                <w:kern w:val="0"/>
                <w:sz w:val="21"/>
                <w:szCs w:val="21"/>
              </w:rPr>
              <w:t>栋，共</w:t>
            </w:r>
            <w:r>
              <w:rPr>
                <w:rFonts w:cs="Times New Roman"/>
                <w:kern w:val="0"/>
                <w:sz w:val="21"/>
                <w:szCs w:val="21"/>
              </w:rPr>
              <w:t>3</w:t>
            </w:r>
            <w:r>
              <w:rPr>
                <w:rFonts w:cs="Times New Roman"/>
                <w:kern w:val="0"/>
                <w:sz w:val="21"/>
                <w:szCs w:val="21"/>
              </w:rPr>
              <w:t>层；位于</w:t>
            </w:r>
            <w:r>
              <w:rPr>
                <w:rFonts w:cs="Times New Roman"/>
                <w:kern w:val="0"/>
                <w:sz w:val="21"/>
                <w:szCs w:val="21"/>
              </w:rPr>
              <w:t>1#</w:t>
            </w:r>
            <w:r>
              <w:rPr>
                <w:rFonts w:cs="Times New Roman"/>
                <w:kern w:val="0"/>
                <w:sz w:val="21"/>
                <w:szCs w:val="21"/>
              </w:rPr>
              <w:t>楼与</w:t>
            </w:r>
            <w:r>
              <w:rPr>
                <w:rFonts w:cs="Times New Roman"/>
                <w:kern w:val="0"/>
                <w:sz w:val="21"/>
                <w:szCs w:val="21"/>
              </w:rPr>
              <w:t>2#</w:t>
            </w:r>
            <w:r>
              <w:rPr>
                <w:rFonts w:cs="Times New Roman"/>
                <w:kern w:val="0"/>
                <w:sz w:val="21"/>
                <w:szCs w:val="21"/>
              </w:rPr>
              <w:t>楼之间；距最近</w:t>
            </w:r>
            <w:r>
              <w:rPr>
                <w:rFonts w:cs="Times New Roman"/>
                <w:kern w:val="0"/>
                <w:sz w:val="21"/>
                <w:szCs w:val="21"/>
              </w:rPr>
              <w:t>2#</w:t>
            </w:r>
            <w:r>
              <w:rPr>
                <w:rFonts w:cs="Times New Roman"/>
                <w:kern w:val="0"/>
                <w:sz w:val="21"/>
                <w:szCs w:val="21"/>
              </w:rPr>
              <w:t>居民楼</w:t>
            </w:r>
            <w:r>
              <w:rPr>
                <w:rFonts w:cs="Times New Roman"/>
                <w:kern w:val="0"/>
                <w:sz w:val="21"/>
                <w:szCs w:val="21"/>
              </w:rPr>
              <w:t>10m</w:t>
            </w:r>
            <w:r>
              <w:rPr>
                <w:rFonts w:cs="Times New Roman"/>
                <w:kern w:val="0"/>
                <w:sz w:val="21"/>
                <w:szCs w:val="21"/>
              </w:rPr>
              <w:t>，燃气调压柜依托电讯设备间</w:t>
            </w: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2</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电讯设备间（</w:t>
            </w:r>
            <w:r>
              <w:rPr>
                <w:rFonts w:cs="Times New Roman"/>
                <w:kern w:val="0"/>
                <w:sz w:val="21"/>
                <w:szCs w:val="21"/>
              </w:rPr>
              <w:t>1 F</w:t>
            </w:r>
            <w:r>
              <w:rPr>
                <w:rFonts w:cs="Times New Roman"/>
                <w:kern w:val="0"/>
                <w:sz w:val="21"/>
                <w:szCs w:val="21"/>
              </w:rPr>
              <w:t>）</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40</w:t>
            </w:r>
          </w:p>
        </w:tc>
        <w:tc>
          <w:tcPr>
            <w:tcW w:w="3032" w:type="dxa"/>
            <w:vMerge/>
            <w:vAlign w:val="center"/>
          </w:tcPr>
          <w:p w:rsidR="003E2173" w:rsidRDefault="003E2173">
            <w:pPr>
              <w:spacing w:line="240" w:lineRule="auto"/>
              <w:ind w:firstLineChars="0" w:firstLine="0"/>
              <w:jc w:val="center"/>
              <w:rPr>
                <w:rFonts w:cs="Times New Roman"/>
                <w:kern w:val="0"/>
                <w:sz w:val="21"/>
                <w:szCs w:val="21"/>
              </w:rPr>
            </w:pP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3</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燃气调压柜</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w:t>
            </w:r>
          </w:p>
        </w:tc>
        <w:tc>
          <w:tcPr>
            <w:tcW w:w="3032" w:type="dxa"/>
            <w:vMerge/>
            <w:vAlign w:val="center"/>
          </w:tcPr>
          <w:p w:rsidR="003E2173" w:rsidRDefault="003E2173">
            <w:pPr>
              <w:spacing w:line="240" w:lineRule="auto"/>
              <w:ind w:firstLineChars="0" w:firstLine="0"/>
              <w:jc w:val="center"/>
              <w:rPr>
                <w:rFonts w:cs="Times New Roman"/>
                <w:kern w:val="0"/>
                <w:sz w:val="21"/>
                <w:szCs w:val="21"/>
              </w:rPr>
            </w:pP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4</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便利店（</w:t>
            </w:r>
            <w:r>
              <w:rPr>
                <w:rFonts w:cs="Times New Roman"/>
                <w:kern w:val="0"/>
                <w:sz w:val="21"/>
                <w:szCs w:val="21"/>
              </w:rPr>
              <w:t>1 F</w:t>
            </w:r>
            <w:r>
              <w:rPr>
                <w:rFonts w:cs="Times New Roman"/>
                <w:kern w:val="0"/>
                <w:sz w:val="21"/>
                <w:szCs w:val="21"/>
              </w:rPr>
              <w:t>）</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100</w:t>
            </w:r>
          </w:p>
        </w:tc>
        <w:tc>
          <w:tcPr>
            <w:tcW w:w="3032" w:type="dxa"/>
            <w:vMerge/>
            <w:vAlign w:val="center"/>
          </w:tcPr>
          <w:p w:rsidR="003E2173" w:rsidRDefault="003E2173">
            <w:pPr>
              <w:spacing w:line="240" w:lineRule="auto"/>
              <w:ind w:firstLineChars="0" w:firstLine="0"/>
              <w:jc w:val="center"/>
              <w:rPr>
                <w:rFonts w:cs="Times New Roman"/>
                <w:kern w:val="0"/>
                <w:sz w:val="21"/>
                <w:szCs w:val="21"/>
              </w:rPr>
            </w:pP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5</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10kV</w:t>
            </w:r>
            <w:r>
              <w:rPr>
                <w:rFonts w:cs="Times New Roman"/>
                <w:kern w:val="0"/>
                <w:sz w:val="21"/>
                <w:szCs w:val="21"/>
              </w:rPr>
              <w:t>土建变电站</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100</w:t>
            </w:r>
          </w:p>
        </w:tc>
        <w:tc>
          <w:tcPr>
            <w:tcW w:w="3032"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地上：位于</w:t>
            </w:r>
            <w:r>
              <w:rPr>
                <w:rFonts w:cs="Times New Roman"/>
                <w:kern w:val="0"/>
                <w:sz w:val="21"/>
                <w:szCs w:val="21"/>
              </w:rPr>
              <w:t>1#</w:t>
            </w:r>
            <w:r>
              <w:rPr>
                <w:rFonts w:cs="Times New Roman"/>
                <w:kern w:val="0"/>
                <w:sz w:val="21"/>
                <w:szCs w:val="21"/>
              </w:rPr>
              <w:t>楼和</w:t>
            </w:r>
            <w:r>
              <w:rPr>
                <w:rFonts w:cs="Times New Roman"/>
                <w:kern w:val="0"/>
                <w:sz w:val="21"/>
                <w:szCs w:val="21"/>
              </w:rPr>
              <w:t>8#</w:t>
            </w:r>
            <w:r>
              <w:rPr>
                <w:rFonts w:cs="Times New Roman"/>
                <w:kern w:val="0"/>
                <w:sz w:val="21"/>
                <w:szCs w:val="21"/>
              </w:rPr>
              <w:t>楼之间；</w:t>
            </w:r>
            <w:r>
              <w:rPr>
                <w:rFonts w:cs="Times New Roman" w:hint="eastAsia"/>
                <w:kern w:val="0"/>
                <w:sz w:val="21"/>
                <w:szCs w:val="21"/>
              </w:rPr>
              <w:t>距离最近的</w:t>
            </w:r>
            <w:r>
              <w:rPr>
                <w:rFonts w:cs="Times New Roman"/>
                <w:kern w:val="0"/>
                <w:sz w:val="21"/>
                <w:szCs w:val="21"/>
              </w:rPr>
              <w:t>8#</w:t>
            </w:r>
            <w:r>
              <w:rPr>
                <w:rFonts w:cs="Times New Roman"/>
                <w:kern w:val="0"/>
                <w:sz w:val="21"/>
                <w:szCs w:val="21"/>
              </w:rPr>
              <w:t>楼</w:t>
            </w:r>
            <w:r>
              <w:rPr>
                <w:rFonts w:cs="Times New Roman"/>
                <w:kern w:val="0"/>
                <w:sz w:val="21"/>
                <w:szCs w:val="21"/>
              </w:rPr>
              <w:t>10m</w:t>
            </w: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6</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换热站</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125</w:t>
            </w:r>
          </w:p>
        </w:tc>
        <w:tc>
          <w:tcPr>
            <w:tcW w:w="3032" w:type="dxa"/>
            <w:vMerge w:val="restart"/>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地下：</w:t>
            </w:r>
            <w:r>
              <w:rPr>
                <w:rFonts w:cs="Times New Roman"/>
                <w:kern w:val="0"/>
                <w:sz w:val="21"/>
                <w:szCs w:val="21"/>
              </w:rPr>
              <w:t xml:space="preserve"> </w:t>
            </w:r>
            <w:r>
              <w:rPr>
                <w:rFonts w:cs="Times New Roman"/>
                <w:kern w:val="0"/>
                <w:sz w:val="21"/>
                <w:szCs w:val="21"/>
              </w:rPr>
              <w:t>位于</w:t>
            </w:r>
            <w:r>
              <w:rPr>
                <w:rFonts w:cs="Times New Roman"/>
                <w:kern w:val="0"/>
                <w:sz w:val="21"/>
                <w:szCs w:val="21"/>
              </w:rPr>
              <w:t>1#</w:t>
            </w:r>
            <w:r>
              <w:rPr>
                <w:rFonts w:cs="Times New Roman"/>
                <w:kern w:val="0"/>
                <w:sz w:val="21"/>
                <w:szCs w:val="21"/>
              </w:rPr>
              <w:t>楼与</w:t>
            </w:r>
            <w:r>
              <w:rPr>
                <w:rFonts w:cs="Times New Roman"/>
                <w:kern w:val="0"/>
                <w:sz w:val="21"/>
                <w:szCs w:val="21"/>
              </w:rPr>
              <w:t>2#</w:t>
            </w:r>
            <w:r>
              <w:rPr>
                <w:rFonts w:cs="Times New Roman"/>
                <w:kern w:val="0"/>
                <w:sz w:val="21"/>
                <w:szCs w:val="21"/>
              </w:rPr>
              <w:t>楼之间</w:t>
            </w: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7</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消防泵房</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Merge w:val="restart"/>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300</w:t>
            </w:r>
          </w:p>
        </w:tc>
        <w:tc>
          <w:tcPr>
            <w:tcW w:w="3032" w:type="dxa"/>
            <w:vMerge/>
            <w:vAlign w:val="center"/>
          </w:tcPr>
          <w:p w:rsidR="003E2173" w:rsidRDefault="003E2173">
            <w:pPr>
              <w:spacing w:line="240" w:lineRule="auto"/>
              <w:ind w:firstLineChars="0" w:firstLine="0"/>
              <w:rPr>
                <w:rFonts w:cs="Times New Roman"/>
                <w:kern w:val="0"/>
                <w:sz w:val="21"/>
                <w:szCs w:val="21"/>
              </w:rPr>
            </w:pP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8</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消防水池</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Merge/>
            <w:vAlign w:val="center"/>
          </w:tcPr>
          <w:p w:rsidR="003E2173" w:rsidRDefault="003E2173">
            <w:pPr>
              <w:spacing w:line="240" w:lineRule="auto"/>
              <w:ind w:firstLineChars="0" w:firstLine="0"/>
              <w:jc w:val="center"/>
              <w:rPr>
                <w:rFonts w:cs="Times New Roman"/>
                <w:kern w:val="0"/>
                <w:sz w:val="21"/>
                <w:szCs w:val="21"/>
              </w:rPr>
            </w:pPr>
          </w:p>
        </w:tc>
        <w:tc>
          <w:tcPr>
            <w:tcW w:w="3032" w:type="dxa"/>
            <w:vMerge/>
            <w:vAlign w:val="center"/>
          </w:tcPr>
          <w:p w:rsidR="003E2173" w:rsidRDefault="003E2173">
            <w:pPr>
              <w:spacing w:line="240" w:lineRule="auto"/>
              <w:ind w:firstLineChars="0" w:firstLine="0"/>
              <w:rPr>
                <w:rFonts w:cs="Times New Roman"/>
                <w:kern w:val="0"/>
                <w:sz w:val="21"/>
                <w:szCs w:val="21"/>
              </w:rPr>
            </w:pP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9</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生活泵房</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Merge/>
            <w:vAlign w:val="center"/>
          </w:tcPr>
          <w:p w:rsidR="003E2173" w:rsidRDefault="003E2173">
            <w:pPr>
              <w:spacing w:line="240" w:lineRule="auto"/>
              <w:ind w:firstLineChars="0" w:firstLine="0"/>
              <w:jc w:val="center"/>
              <w:rPr>
                <w:rFonts w:cs="Times New Roman"/>
                <w:kern w:val="0"/>
                <w:sz w:val="21"/>
                <w:szCs w:val="21"/>
              </w:rPr>
            </w:pPr>
          </w:p>
        </w:tc>
        <w:tc>
          <w:tcPr>
            <w:tcW w:w="3032" w:type="dxa"/>
            <w:vMerge/>
            <w:vAlign w:val="center"/>
          </w:tcPr>
          <w:p w:rsidR="003E2173" w:rsidRDefault="003E2173">
            <w:pPr>
              <w:spacing w:line="240" w:lineRule="auto"/>
              <w:ind w:firstLineChars="0" w:firstLine="0"/>
              <w:rPr>
                <w:rFonts w:cs="Times New Roman"/>
                <w:kern w:val="0"/>
                <w:sz w:val="21"/>
                <w:szCs w:val="21"/>
              </w:rPr>
            </w:pPr>
          </w:p>
        </w:tc>
      </w:tr>
      <w:tr w:rsidR="003E2173">
        <w:trPr>
          <w:trHeight w:val="340"/>
          <w:jc w:val="center"/>
        </w:trPr>
        <w:tc>
          <w:tcPr>
            <w:tcW w:w="1198"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10</w:t>
            </w:r>
          </w:p>
        </w:tc>
        <w:tc>
          <w:tcPr>
            <w:tcW w:w="1880"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中水泵房</w:t>
            </w:r>
          </w:p>
        </w:tc>
        <w:tc>
          <w:tcPr>
            <w:tcW w:w="1205" w:type="dxa"/>
            <w:vAlign w:val="center"/>
          </w:tcPr>
          <w:p w:rsidR="003E2173" w:rsidRDefault="004B0ECA">
            <w:pPr>
              <w:spacing w:line="240" w:lineRule="auto"/>
              <w:ind w:firstLineChars="0" w:firstLine="0"/>
              <w:jc w:val="center"/>
              <w:rPr>
                <w:rFonts w:cs="Times New Roman"/>
                <w:kern w:val="0"/>
                <w:sz w:val="21"/>
                <w:szCs w:val="21"/>
              </w:rPr>
            </w:pPr>
            <w:r>
              <w:rPr>
                <w:rFonts w:cs="Times New Roman"/>
                <w:kern w:val="0"/>
                <w:sz w:val="21"/>
                <w:szCs w:val="21"/>
              </w:rPr>
              <w:t>1</w:t>
            </w:r>
          </w:p>
        </w:tc>
        <w:tc>
          <w:tcPr>
            <w:tcW w:w="1207" w:type="dxa"/>
            <w:vMerge/>
            <w:vAlign w:val="center"/>
          </w:tcPr>
          <w:p w:rsidR="003E2173" w:rsidRDefault="003E2173">
            <w:pPr>
              <w:spacing w:line="240" w:lineRule="auto"/>
              <w:ind w:firstLineChars="0" w:firstLine="0"/>
              <w:jc w:val="center"/>
              <w:rPr>
                <w:rFonts w:cs="Times New Roman"/>
                <w:kern w:val="0"/>
                <w:sz w:val="21"/>
                <w:szCs w:val="21"/>
              </w:rPr>
            </w:pPr>
          </w:p>
        </w:tc>
        <w:tc>
          <w:tcPr>
            <w:tcW w:w="3032" w:type="dxa"/>
            <w:vMerge/>
            <w:vAlign w:val="center"/>
          </w:tcPr>
          <w:p w:rsidR="003E2173" w:rsidRDefault="003E2173">
            <w:pPr>
              <w:spacing w:line="240" w:lineRule="auto"/>
              <w:ind w:firstLineChars="0" w:firstLine="0"/>
              <w:rPr>
                <w:rFonts w:cs="Times New Roman"/>
                <w:kern w:val="0"/>
                <w:sz w:val="21"/>
                <w:szCs w:val="21"/>
              </w:rPr>
            </w:pPr>
          </w:p>
        </w:tc>
      </w:tr>
    </w:tbl>
    <w:p w:rsidR="003E2173" w:rsidRDefault="004B0ECA">
      <w:pPr>
        <w:pStyle w:val="2"/>
      </w:pPr>
      <w:r>
        <w:rPr>
          <w:rFonts w:hint="eastAsia"/>
        </w:rPr>
        <w:t>3.3</w:t>
      </w:r>
      <w:r>
        <w:rPr>
          <w:rFonts w:hint="eastAsia"/>
        </w:rPr>
        <w:t>主要公用及辅助工程</w:t>
      </w:r>
    </w:p>
    <w:p w:rsidR="003E2173" w:rsidRDefault="004B0ECA">
      <w:pPr>
        <w:ind w:firstLine="480"/>
      </w:pPr>
      <w:r>
        <w:t>（</w:t>
      </w:r>
      <w:r>
        <w:t>1</w:t>
      </w:r>
      <w:r>
        <w:t>）给水</w:t>
      </w:r>
    </w:p>
    <w:p w:rsidR="003E2173" w:rsidRDefault="004B0ECA">
      <w:pPr>
        <w:ind w:firstLine="480"/>
      </w:pPr>
      <w:r>
        <w:rPr>
          <w:rFonts w:hint="eastAsia"/>
        </w:rPr>
        <w:t>自来水：</w:t>
      </w:r>
      <w:r>
        <w:t>本项目自来水由市政</w:t>
      </w:r>
      <w:r>
        <w:rPr>
          <w:rFonts w:hint="eastAsia"/>
        </w:rPr>
        <w:t>自来</w:t>
      </w:r>
      <w:r>
        <w:t>水管网供给。</w:t>
      </w:r>
      <w:r>
        <w:rPr>
          <w:rFonts w:hint="eastAsia"/>
        </w:rPr>
        <w:t>五层以下</w:t>
      </w:r>
      <w:r>
        <w:t>采用市政管网直接供水，高层建筑的五层及以上采用二次供水泵加压供</w:t>
      </w:r>
      <w:r>
        <w:rPr>
          <w:rFonts w:hint="eastAsia"/>
        </w:rPr>
        <w:t>水</w:t>
      </w:r>
      <w:r>
        <w:t>，供水泵房置于配套公建地下室。</w:t>
      </w:r>
    </w:p>
    <w:p w:rsidR="003E2173" w:rsidRDefault="004B0ECA">
      <w:pPr>
        <w:ind w:firstLine="480"/>
      </w:pPr>
      <w:r>
        <w:t>中水：根据《天津市城市排水和再生水利用管理条例》和《天津市住宅建设中水供水系统技术规定》，项目地块内</w:t>
      </w:r>
      <w:r>
        <w:rPr>
          <w:rFonts w:hint="eastAsia"/>
        </w:rPr>
        <w:t>预留</w:t>
      </w:r>
      <w:r>
        <w:t>有配套中水</w:t>
      </w:r>
      <w:r>
        <w:rPr>
          <w:rFonts w:hint="eastAsia"/>
        </w:rPr>
        <w:t>管道。在</w:t>
      </w:r>
      <w:r>
        <w:t>中水</w:t>
      </w:r>
      <w:r>
        <w:rPr>
          <w:rFonts w:hint="eastAsia"/>
        </w:rPr>
        <w:t>管网</w:t>
      </w:r>
      <w:r>
        <w:t>提供中水</w:t>
      </w:r>
      <w:r>
        <w:rPr>
          <w:rFonts w:hint="eastAsia"/>
        </w:rPr>
        <w:t>前</w:t>
      </w:r>
      <w:r>
        <w:t>，项目</w:t>
      </w:r>
      <w:r>
        <w:rPr>
          <w:rFonts w:hint="eastAsia"/>
        </w:rPr>
        <w:t>冲厕</w:t>
      </w:r>
      <w:r>
        <w:t>及绿化等用</w:t>
      </w:r>
      <w:r>
        <w:rPr>
          <w:rFonts w:hint="eastAsia"/>
        </w:rPr>
        <w:t>水</w:t>
      </w:r>
      <w:r>
        <w:t>由自来水代替，</w:t>
      </w:r>
      <w:r>
        <w:rPr>
          <w:rFonts w:hint="eastAsia"/>
        </w:rPr>
        <w:t>待</w:t>
      </w:r>
      <w:r>
        <w:t>中水</w:t>
      </w:r>
      <w:r>
        <w:rPr>
          <w:rFonts w:hint="eastAsia"/>
        </w:rPr>
        <w:t>供水管</w:t>
      </w:r>
      <w:r>
        <w:t>提供中水后，</w:t>
      </w:r>
      <w:r>
        <w:rPr>
          <w:rFonts w:hint="eastAsia"/>
        </w:rPr>
        <w:t>住宅</w:t>
      </w:r>
      <w:r>
        <w:t>冲厕、浇洒绿地等</w:t>
      </w:r>
      <w:r>
        <w:rPr>
          <w:rFonts w:hint="eastAsia"/>
        </w:rPr>
        <w:t>全部改用</w:t>
      </w:r>
      <w:r>
        <w:t>中水。</w:t>
      </w:r>
    </w:p>
    <w:p w:rsidR="003E2173" w:rsidRDefault="004B0ECA">
      <w:pPr>
        <w:pStyle w:val="3"/>
        <w:ind w:firstLineChars="200" w:firstLine="480"/>
        <w:rPr>
          <w:b w:val="0"/>
        </w:rPr>
      </w:pPr>
      <w:r>
        <w:rPr>
          <w:b w:val="0"/>
        </w:rPr>
        <w:lastRenderedPageBreak/>
        <w:t>（</w:t>
      </w:r>
      <w:r>
        <w:rPr>
          <w:b w:val="0"/>
        </w:rPr>
        <w:t>2</w:t>
      </w:r>
      <w:r>
        <w:rPr>
          <w:b w:val="0"/>
        </w:rPr>
        <w:t>）</w:t>
      </w:r>
      <w:r>
        <w:rPr>
          <w:rFonts w:hint="eastAsia"/>
          <w:b w:val="0"/>
        </w:rPr>
        <w:t>排水</w:t>
      </w:r>
    </w:p>
    <w:p w:rsidR="003E2173" w:rsidRDefault="004B0ECA">
      <w:pPr>
        <w:ind w:firstLine="480"/>
      </w:pPr>
      <w:r>
        <w:t>本项目排水采用雨、污分流制系统。雨水</w:t>
      </w:r>
      <w:r>
        <w:rPr>
          <w:rFonts w:hint="eastAsia"/>
        </w:rPr>
        <w:t>通过雨水口收集后，经</w:t>
      </w:r>
      <w:r>
        <w:t>小区雨水管网排入市政雨水</w:t>
      </w:r>
      <w:r>
        <w:rPr>
          <w:rFonts w:hint="eastAsia"/>
        </w:rPr>
        <w:t>管网</w:t>
      </w:r>
      <w:r>
        <w:t>；本项目生活污水经化粪池</w:t>
      </w:r>
      <w:r>
        <w:rPr>
          <w:rFonts w:hint="eastAsia"/>
        </w:rPr>
        <w:t>静置</w:t>
      </w:r>
      <w:r>
        <w:t>、沉淀后，排入市政污水管网，最终排入</w:t>
      </w:r>
      <w:r>
        <w:rPr>
          <w:rFonts w:hint="eastAsia"/>
        </w:rPr>
        <w:t>张贵庄</w:t>
      </w:r>
      <w:r>
        <w:t>污水处理厂。</w:t>
      </w:r>
    </w:p>
    <w:p w:rsidR="003E2173" w:rsidRDefault="004B0ECA">
      <w:pPr>
        <w:pStyle w:val="3"/>
        <w:ind w:firstLineChars="200" w:firstLine="480"/>
        <w:rPr>
          <w:b w:val="0"/>
        </w:rPr>
      </w:pPr>
      <w:r>
        <w:rPr>
          <w:b w:val="0"/>
        </w:rPr>
        <w:t>（</w:t>
      </w:r>
      <w:r>
        <w:rPr>
          <w:b w:val="0"/>
        </w:rPr>
        <w:t>3</w:t>
      </w:r>
      <w:r>
        <w:rPr>
          <w:b w:val="0"/>
        </w:rPr>
        <w:t>）</w:t>
      </w:r>
      <w:r>
        <w:rPr>
          <w:rFonts w:hint="eastAsia"/>
          <w:b w:val="0"/>
        </w:rPr>
        <w:t>供热制冷</w:t>
      </w:r>
    </w:p>
    <w:p w:rsidR="003E2173" w:rsidRDefault="004B0ECA">
      <w:pPr>
        <w:ind w:firstLine="480"/>
      </w:pPr>
      <w:r>
        <w:t>本项目冬季取暖采用集中供热</w:t>
      </w:r>
      <w:r>
        <w:rPr>
          <w:rFonts w:hint="eastAsia"/>
        </w:rPr>
        <w:t>方式</w:t>
      </w:r>
      <w:r>
        <w:t>，</w:t>
      </w:r>
      <w:r>
        <w:rPr>
          <w:rFonts w:hint="eastAsia"/>
        </w:rPr>
        <w:t>由天津市</w:t>
      </w:r>
      <w:r>
        <w:t>热电公司东丽供电站提供，供热站位于东丽区军粮城轻轨</w:t>
      </w:r>
      <w:r>
        <w:rPr>
          <w:rFonts w:hint="eastAsia"/>
        </w:rPr>
        <w:t>旁</w:t>
      </w:r>
      <w:r>
        <w:t>，距离本项目约</w:t>
      </w:r>
      <w:r>
        <w:rPr>
          <w:rFonts w:hint="eastAsia"/>
        </w:rPr>
        <w:t>10km</w:t>
      </w:r>
      <w:r>
        <w:rPr>
          <w:rFonts w:hint="eastAsia"/>
        </w:rPr>
        <w:t>，</w:t>
      </w:r>
      <w:r>
        <w:t>距离较远，对本项目不构成区外污染源。</w:t>
      </w:r>
    </w:p>
    <w:p w:rsidR="003E2173" w:rsidRDefault="004B0ECA">
      <w:pPr>
        <w:ind w:firstLine="480"/>
      </w:pPr>
      <w:r>
        <w:rPr>
          <w:rFonts w:hint="eastAsia"/>
        </w:rPr>
        <w:t>居民</w:t>
      </w:r>
      <w:r>
        <w:t>住宅夏季制冷采用分体电空调，由业主自理。</w:t>
      </w:r>
    </w:p>
    <w:p w:rsidR="003E2173" w:rsidRDefault="004B0ECA">
      <w:pPr>
        <w:pStyle w:val="3"/>
        <w:ind w:firstLineChars="200" w:firstLine="480"/>
        <w:rPr>
          <w:b w:val="0"/>
        </w:rPr>
      </w:pPr>
      <w:r>
        <w:rPr>
          <w:b w:val="0"/>
        </w:rPr>
        <w:t>（</w:t>
      </w:r>
      <w:r>
        <w:rPr>
          <w:b w:val="0"/>
        </w:rPr>
        <w:t>4</w:t>
      </w:r>
      <w:r>
        <w:rPr>
          <w:b w:val="0"/>
        </w:rPr>
        <w:t>）</w:t>
      </w:r>
      <w:r>
        <w:rPr>
          <w:rFonts w:hint="eastAsia"/>
          <w:b w:val="0"/>
        </w:rPr>
        <w:t>供电</w:t>
      </w:r>
    </w:p>
    <w:p w:rsidR="003E2173" w:rsidRDefault="004B0ECA">
      <w:pPr>
        <w:ind w:firstLine="480"/>
      </w:pPr>
      <w:r>
        <w:t>本项目供电由市政电网提供，</w:t>
      </w:r>
      <w:r>
        <w:rPr>
          <w:rFonts w:hint="eastAsia"/>
        </w:rPr>
        <w:t>现有</w:t>
      </w:r>
      <w:r>
        <w:t>供电能力能够满足要求。</w:t>
      </w:r>
      <w:r>
        <w:rPr>
          <w:rFonts w:hint="eastAsia"/>
        </w:rPr>
        <w:t>本小区</w:t>
      </w:r>
      <w:r>
        <w:t>内设</w:t>
      </w:r>
      <w:r>
        <w:t>10kV</w:t>
      </w:r>
      <w:r>
        <w:t>土建变电站</w:t>
      </w:r>
      <w:r>
        <w:rPr>
          <w:rFonts w:hint="eastAsia"/>
        </w:rPr>
        <w:t>一座，</w:t>
      </w:r>
      <w:r>
        <w:t>位于</w:t>
      </w:r>
      <w:r>
        <w:rPr>
          <w:rFonts w:hint="eastAsia"/>
        </w:rPr>
        <w:t>3</w:t>
      </w:r>
      <w:r>
        <w:rPr>
          <w:rFonts w:hint="eastAsia"/>
        </w:rPr>
        <w:t>层</w:t>
      </w:r>
      <w:r>
        <w:t>公建</w:t>
      </w:r>
      <w:r>
        <w:rPr>
          <w:rFonts w:hint="eastAsia"/>
        </w:rPr>
        <w:t>东侧</w:t>
      </w:r>
      <w:r>
        <w:t>，对小区</w:t>
      </w:r>
      <w:r>
        <w:rPr>
          <w:rFonts w:hint="eastAsia"/>
        </w:rPr>
        <w:t>进行</w:t>
      </w:r>
      <w:r>
        <w:t>供电</w:t>
      </w:r>
      <w:r>
        <w:rPr>
          <w:rFonts w:hint="eastAsia"/>
        </w:rPr>
        <w:t>。变电站</w:t>
      </w:r>
      <w:r>
        <w:t>距离小区最近住宅楼</w:t>
      </w:r>
      <w:r>
        <w:rPr>
          <w:rFonts w:hint="eastAsia"/>
        </w:rPr>
        <w:t>约</w:t>
      </w:r>
      <w:r>
        <w:rPr>
          <w:rFonts w:hint="eastAsia"/>
        </w:rPr>
        <w:t>10m</w:t>
      </w:r>
      <w:r>
        <w:rPr>
          <w:rFonts w:hint="eastAsia"/>
        </w:rPr>
        <w:t>。</w:t>
      </w:r>
    </w:p>
    <w:p w:rsidR="003E2173" w:rsidRDefault="004B0ECA">
      <w:pPr>
        <w:pStyle w:val="3"/>
        <w:ind w:firstLineChars="200" w:firstLine="480"/>
        <w:rPr>
          <w:b w:val="0"/>
        </w:rPr>
      </w:pPr>
      <w:r>
        <w:rPr>
          <w:b w:val="0"/>
        </w:rPr>
        <w:t>（</w:t>
      </w:r>
      <w:r>
        <w:rPr>
          <w:b w:val="0"/>
        </w:rPr>
        <w:t>5</w:t>
      </w:r>
      <w:r>
        <w:rPr>
          <w:b w:val="0"/>
        </w:rPr>
        <w:t>）</w:t>
      </w:r>
      <w:r>
        <w:rPr>
          <w:rFonts w:hint="eastAsia"/>
          <w:b w:val="0"/>
        </w:rPr>
        <w:t>供气</w:t>
      </w:r>
    </w:p>
    <w:p w:rsidR="003E2173" w:rsidRDefault="004B0ECA">
      <w:pPr>
        <w:ind w:firstLine="480"/>
      </w:pPr>
      <w:r>
        <w:t>本项目住宅日常生活燃用天然气，气源由市政天然气管网提供，</w:t>
      </w:r>
      <w:r>
        <w:rPr>
          <w:rFonts w:hint="eastAsia"/>
        </w:rPr>
        <w:t>本项目</w:t>
      </w:r>
      <w:r>
        <w:t>设置燃气调压柜对市政天然气进行过滤、调压、计量、安全控制等</w:t>
      </w:r>
      <w:r>
        <w:rPr>
          <w:rFonts w:hint="eastAsia"/>
        </w:rPr>
        <w:t>，</w:t>
      </w:r>
      <w:r>
        <w:t>体积比较小，依托电讯设备间建设。</w:t>
      </w:r>
    </w:p>
    <w:p w:rsidR="003E2173" w:rsidRDefault="004B0ECA">
      <w:pPr>
        <w:pStyle w:val="3"/>
        <w:ind w:firstLineChars="200" w:firstLine="480"/>
        <w:rPr>
          <w:b w:val="0"/>
        </w:rPr>
      </w:pPr>
      <w:r>
        <w:rPr>
          <w:b w:val="0"/>
        </w:rPr>
        <w:t>（</w:t>
      </w:r>
      <w:r>
        <w:rPr>
          <w:b w:val="0"/>
        </w:rPr>
        <w:t>6</w:t>
      </w:r>
      <w:r>
        <w:rPr>
          <w:b w:val="0"/>
        </w:rPr>
        <w:t>）</w:t>
      </w:r>
      <w:r>
        <w:rPr>
          <w:rFonts w:hint="eastAsia"/>
          <w:b w:val="0"/>
        </w:rPr>
        <w:t>停车场</w:t>
      </w:r>
    </w:p>
    <w:p w:rsidR="003E2173" w:rsidRDefault="004B0ECA">
      <w:pPr>
        <w:ind w:firstLine="480"/>
      </w:pPr>
      <w:r>
        <w:t>本项目</w:t>
      </w:r>
      <w:r>
        <w:rPr>
          <w:rFonts w:hint="eastAsia"/>
        </w:rPr>
        <w:t>共</w:t>
      </w:r>
      <w:r w:rsidR="00893027">
        <w:rPr>
          <w:rFonts w:hint="eastAsia"/>
        </w:rPr>
        <w:t>包括</w:t>
      </w:r>
      <w:r>
        <w:rPr>
          <w:rFonts w:hint="eastAsia"/>
        </w:rPr>
        <w:t>198</w:t>
      </w:r>
      <w:r>
        <w:rPr>
          <w:rFonts w:hint="eastAsia"/>
        </w:rPr>
        <w:t>个</w:t>
      </w:r>
      <w:r>
        <w:t>机动车停车位，</w:t>
      </w:r>
      <w:r>
        <w:rPr>
          <w:rFonts w:hint="eastAsia"/>
        </w:rPr>
        <w:t>621</w:t>
      </w:r>
      <w:r>
        <w:rPr>
          <w:rFonts w:hint="eastAsia"/>
        </w:rPr>
        <w:t>个</w:t>
      </w:r>
      <w:r>
        <w:t>非机动车停车位</w:t>
      </w:r>
      <w:r>
        <w:rPr>
          <w:rFonts w:hint="eastAsia"/>
        </w:rPr>
        <w:t>，</w:t>
      </w:r>
      <w:r>
        <w:t>分散设置在建筑周边绿地，</w:t>
      </w:r>
      <w:r>
        <w:rPr>
          <w:rFonts w:hint="eastAsia"/>
        </w:rPr>
        <w:t>无</w:t>
      </w:r>
      <w:r>
        <w:t>地下停车位。</w:t>
      </w:r>
    </w:p>
    <w:p w:rsidR="003E2173" w:rsidRDefault="004B0ECA">
      <w:pPr>
        <w:pStyle w:val="3"/>
        <w:ind w:firstLineChars="200" w:firstLine="480"/>
        <w:rPr>
          <w:b w:val="0"/>
        </w:rPr>
      </w:pPr>
      <w:r>
        <w:rPr>
          <w:rFonts w:hint="eastAsia"/>
          <w:b w:val="0"/>
        </w:rPr>
        <w:t>（</w:t>
      </w:r>
      <w:r>
        <w:rPr>
          <w:rFonts w:hint="eastAsia"/>
          <w:b w:val="0"/>
        </w:rPr>
        <w:t>7</w:t>
      </w:r>
      <w:r>
        <w:rPr>
          <w:rFonts w:hint="eastAsia"/>
          <w:b w:val="0"/>
        </w:rPr>
        <w:t>）固体废弃物收集</w:t>
      </w:r>
      <w:r>
        <w:rPr>
          <w:b w:val="0"/>
        </w:rPr>
        <w:t>处置情况</w:t>
      </w:r>
    </w:p>
    <w:p w:rsidR="003E2173" w:rsidRDefault="004B0ECA">
      <w:pPr>
        <w:ind w:firstLine="480"/>
      </w:pPr>
      <w:r>
        <w:rPr>
          <w:rFonts w:hint="eastAsia"/>
        </w:rPr>
        <w:t>本次</w:t>
      </w:r>
      <w:r>
        <w:t>验收</w:t>
      </w:r>
      <w:r>
        <w:rPr>
          <w:rFonts w:hint="eastAsia"/>
        </w:rPr>
        <w:t>项目不设置</w:t>
      </w:r>
      <w:r>
        <w:t>垃圾</w:t>
      </w:r>
      <w:r>
        <w:rPr>
          <w:rFonts w:hint="eastAsia"/>
        </w:rPr>
        <w:t>转运站，</w:t>
      </w:r>
      <w:r>
        <w:t>仅在</w:t>
      </w:r>
      <w:r>
        <w:rPr>
          <w:rFonts w:hint="eastAsia"/>
        </w:rPr>
        <w:t>住宅</w:t>
      </w:r>
      <w:r>
        <w:t>楼和</w:t>
      </w:r>
      <w:r>
        <w:rPr>
          <w:rFonts w:hint="eastAsia"/>
        </w:rPr>
        <w:t>配建</w:t>
      </w:r>
      <w:r>
        <w:t>楼下</w:t>
      </w:r>
      <w:r>
        <w:rPr>
          <w:rFonts w:hint="eastAsia"/>
        </w:rPr>
        <w:t>设置垃圾桶</w:t>
      </w:r>
      <w:r>
        <w:t>，</w:t>
      </w:r>
      <w:r>
        <w:rPr>
          <w:rFonts w:hint="eastAsia"/>
        </w:rPr>
        <w:t>小区内</w:t>
      </w:r>
      <w:r>
        <w:t>居民生活垃圾分类收集后集中存放、日产日清，由环卫部门</w:t>
      </w:r>
      <w:r>
        <w:rPr>
          <w:rFonts w:hint="eastAsia"/>
        </w:rPr>
        <w:t>统一及时清运处置</w:t>
      </w:r>
      <w:r>
        <w:t>。</w:t>
      </w:r>
    </w:p>
    <w:p w:rsidR="008C2830" w:rsidRDefault="006045D1">
      <w:pPr>
        <w:pStyle w:val="2"/>
      </w:pPr>
      <w:r>
        <w:t>3.4</w:t>
      </w:r>
      <w:r w:rsidR="00AD2FA4">
        <w:t>建设情况调查</w:t>
      </w:r>
    </w:p>
    <w:p w:rsidR="008C2830" w:rsidRDefault="00AD2FA4">
      <w:pPr>
        <w:spacing w:line="368" w:lineRule="auto"/>
        <w:ind w:left="-15" w:firstLine="480"/>
      </w:pPr>
      <w:r>
        <w:t>调查本项目建设居民</w:t>
      </w:r>
      <w:r w:rsidRPr="009347B5">
        <w:rPr>
          <w:color w:val="auto"/>
        </w:rPr>
        <w:t>楼</w:t>
      </w:r>
      <w:r>
        <w:rPr>
          <w:rFonts w:eastAsia="Times New Roman" w:cs="Times New Roman"/>
        </w:rPr>
        <w:t>8</w:t>
      </w:r>
      <w:r>
        <w:t>栋，</w:t>
      </w:r>
      <w:r w:rsidRPr="009347B5">
        <w:t>建设内容为</w:t>
      </w:r>
      <w:r w:rsidRPr="009347B5">
        <w:t>1</w:t>
      </w:r>
      <w:r w:rsidRPr="009347B5">
        <w:t>栋</w:t>
      </w:r>
      <w:r w:rsidRPr="009347B5">
        <w:t>11</w:t>
      </w:r>
      <w:r w:rsidRPr="009347B5">
        <w:t>层住宅楼（</w:t>
      </w:r>
      <w:r w:rsidRPr="009347B5">
        <w:t>1#</w:t>
      </w:r>
      <w:r w:rsidRPr="009347B5">
        <w:t>）</w:t>
      </w:r>
      <w:r w:rsidRPr="009347B5">
        <w:rPr>
          <w:rFonts w:hint="eastAsia"/>
        </w:rPr>
        <w:t>、</w:t>
      </w:r>
      <w:r w:rsidRPr="009347B5">
        <w:t>1</w:t>
      </w:r>
      <w:r w:rsidRPr="009347B5">
        <w:t>栋</w:t>
      </w:r>
      <w:r w:rsidRPr="009347B5">
        <w:t>10</w:t>
      </w:r>
      <w:r w:rsidRPr="009347B5">
        <w:t>层住宅楼（</w:t>
      </w:r>
      <w:r w:rsidRPr="009347B5">
        <w:t>2#</w:t>
      </w:r>
      <w:r w:rsidRPr="009347B5">
        <w:t>）、</w:t>
      </w:r>
      <w:r w:rsidRPr="009347B5">
        <w:t>3</w:t>
      </w:r>
      <w:r w:rsidRPr="009347B5">
        <w:t>栋</w:t>
      </w:r>
      <w:r w:rsidRPr="009347B5">
        <w:t>7</w:t>
      </w:r>
      <w:r w:rsidRPr="009347B5">
        <w:t>层住宅楼（</w:t>
      </w:r>
      <w:r w:rsidRPr="009347B5">
        <w:t>3#~5#</w:t>
      </w:r>
      <w:r w:rsidRPr="009347B5">
        <w:t>）、</w:t>
      </w:r>
      <w:r w:rsidRPr="009347B5">
        <w:t>3</w:t>
      </w:r>
      <w:r w:rsidRPr="009347B5">
        <w:t>栋</w:t>
      </w:r>
      <w:r w:rsidRPr="009347B5">
        <w:t>14</w:t>
      </w:r>
      <w:r w:rsidRPr="009347B5">
        <w:t>层住宅楼（</w:t>
      </w:r>
      <w:r w:rsidRPr="009347B5">
        <w:t>6#~8#</w:t>
      </w:r>
      <w:r w:rsidRPr="009347B5">
        <w:t>）及</w:t>
      </w:r>
      <w:r w:rsidRPr="009347B5">
        <w:t>1</w:t>
      </w:r>
      <w:r w:rsidRPr="009347B5">
        <w:t>座</w:t>
      </w:r>
      <w:r w:rsidRPr="009347B5">
        <w:t>3</w:t>
      </w:r>
      <w:r w:rsidRPr="009347B5">
        <w:lastRenderedPageBreak/>
        <w:t>层配套公建，建筑面积</w:t>
      </w:r>
      <w:r>
        <w:t>340</w:t>
      </w:r>
      <w:r w:rsidRPr="009347B5">
        <w:t xml:space="preserve"> m</w:t>
      </w:r>
      <w:r w:rsidRPr="009347B5">
        <w:rPr>
          <w:vertAlign w:val="superscript"/>
        </w:rPr>
        <w:t>2</w:t>
      </w:r>
      <w:r>
        <w:t>。查阅该公司提供的相关资料，确定本项目建筑规模、地点、性质、生态建设等相关建筑信息和环评一致，无重大变更。</w:t>
      </w:r>
    </w:p>
    <w:p w:rsidR="00166053" w:rsidRDefault="00166053">
      <w:pPr>
        <w:spacing w:line="368" w:lineRule="auto"/>
        <w:ind w:left="-15" w:firstLine="480"/>
      </w:pPr>
    </w:p>
    <w:p w:rsidR="00166053" w:rsidRDefault="00166053">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C1C74" w:rsidRDefault="003C1C74">
      <w:pPr>
        <w:spacing w:line="368" w:lineRule="auto"/>
        <w:ind w:left="-15" w:firstLine="480"/>
      </w:pPr>
    </w:p>
    <w:p w:rsidR="003E2173" w:rsidRDefault="006045D1">
      <w:pPr>
        <w:pStyle w:val="1"/>
      </w:pPr>
      <w:bookmarkStart w:id="6" w:name="_Toc523513192"/>
      <w:r>
        <w:rPr>
          <w:rFonts w:hint="eastAsia"/>
        </w:rPr>
        <w:lastRenderedPageBreak/>
        <w:t>4</w:t>
      </w:r>
      <w:r>
        <w:rPr>
          <w:rFonts w:hint="eastAsia"/>
        </w:rPr>
        <w:t>、主要污染物分析及污染防治措施</w:t>
      </w:r>
      <w:bookmarkEnd w:id="6"/>
    </w:p>
    <w:p w:rsidR="003E2173" w:rsidRDefault="000679AE" w:rsidP="000679AE">
      <w:pPr>
        <w:ind w:left="480" w:firstLineChars="0" w:firstLine="0"/>
      </w:pPr>
      <w:r>
        <w:rPr>
          <w:rFonts w:hint="eastAsia"/>
        </w:rPr>
        <w:t>（</w:t>
      </w:r>
      <w:r>
        <w:rPr>
          <w:rFonts w:hint="eastAsia"/>
        </w:rPr>
        <w:t>1</w:t>
      </w:r>
      <w:r>
        <w:rPr>
          <w:rFonts w:hint="eastAsia"/>
        </w:rPr>
        <w:t>）</w:t>
      </w:r>
      <w:r w:rsidR="004B0ECA">
        <w:rPr>
          <w:rFonts w:hint="eastAsia"/>
        </w:rPr>
        <w:t>施工期</w:t>
      </w:r>
    </w:p>
    <w:p w:rsidR="003E2173" w:rsidRDefault="004B0ECA">
      <w:pPr>
        <w:ind w:firstLine="480"/>
      </w:pPr>
      <w:r>
        <w:rPr>
          <w:rFonts w:hint="eastAsia"/>
        </w:rPr>
        <w:t>本项目施工期固体废物主要为建筑垃圾（碎砖块、水泥块、废木料、废装修材料、工程渣土等）和员工生活垃圾。</w:t>
      </w:r>
    </w:p>
    <w:p w:rsidR="003E2173" w:rsidRDefault="004B0ECA">
      <w:pPr>
        <w:ind w:firstLine="480"/>
      </w:pPr>
      <w:r>
        <w:rPr>
          <w:rFonts w:hint="eastAsia"/>
        </w:rPr>
        <w:t>施工期建设单位主要通过采取以下措施降低固体废物对环境的影响：加强员工教育和管理，不随意乱丢废弃物；制定弃土处置计划，做到土方利用平衡；施工垃圾清运采取封闭式处理，施工现场设置生活垃圾收集点。按规定地点处置弃土和建筑垃圾；生活垃圾由市容环卫部门运至指定地点处置。</w:t>
      </w:r>
    </w:p>
    <w:p w:rsidR="003E2173" w:rsidRDefault="000679AE" w:rsidP="000679AE">
      <w:pPr>
        <w:ind w:left="480" w:firstLineChars="0" w:firstLine="0"/>
      </w:pPr>
      <w:r>
        <w:rPr>
          <w:rFonts w:hint="eastAsia"/>
        </w:rPr>
        <w:t>（</w:t>
      </w:r>
      <w:r>
        <w:rPr>
          <w:rFonts w:hint="eastAsia"/>
        </w:rPr>
        <w:t>2</w:t>
      </w:r>
      <w:r>
        <w:rPr>
          <w:rFonts w:hint="eastAsia"/>
        </w:rPr>
        <w:t>）</w:t>
      </w:r>
      <w:r w:rsidR="004B0ECA">
        <w:rPr>
          <w:rFonts w:hint="eastAsia"/>
        </w:rPr>
        <w:t>使用期</w:t>
      </w:r>
    </w:p>
    <w:p w:rsidR="003E2173" w:rsidRDefault="004B0ECA">
      <w:pPr>
        <w:ind w:firstLine="480"/>
      </w:pPr>
      <w:r>
        <w:rPr>
          <w:rFonts w:hint="eastAsia"/>
        </w:rPr>
        <w:t>本项目使用期产生的固体废物主要为居民日常生活产生的生活垃圾。</w:t>
      </w:r>
    </w:p>
    <w:p w:rsidR="003E2173" w:rsidRDefault="004B0ECA">
      <w:pPr>
        <w:ind w:firstLine="480"/>
      </w:pPr>
      <w:r>
        <w:rPr>
          <w:rFonts w:hint="eastAsia"/>
        </w:rPr>
        <w:t>本项目已针对生活垃圾建立适当的分类收集体系。</w:t>
      </w:r>
      <w:r w:rsidR="006249E6">
        <w:rPr>
          <w:rFonts w:hint="eastAsia"/>
        </w:rPr>
        <w:t>本项目在住宅楼前块地内设置垃圾桶，对生活垃圾采取分类收集，</w:t>
      </w:r>
      <w:r w:rsidR="00A11E20">
        <w:rPr>
          <w:rFonts w:hint="eastAsia"/>
        </w:rPr>
        <w:t>分为</w:t>
      </w:r>
      <w:r w:rsidR="00A11E20">
        <w:t>可回收和不可回收垃圾</w:t>
      </w:r>
      <w:r w:rsidR="006249E6">
        <w:rPr>
          <w:rFonts w:hint="eastAsia"/>
        </w:rPr>
        <w:t>，</w:t>
      </w:r>
      <w:r>
        <w:rPr>
          <w:rFonts w:hint="eastAsia"/>
        </w:rPr>
        <w:t>垃圾桶保持密闭设置</w:t>
      </w:r>
      <w:r w:rsidR="00893027">
        <w:rPr>
          <w:rFonts w:hint="eastAsia"/>
        </w:rPr>
        <w:t>确保</w:t>
      </w:r>
      <w:r>
        <w:rPr>
          <w:rFonts w:hint="eastAsia"/>
        </w:rPr>
        <w:t>垃圾异味不会向外扩散。</w:t>
      </w:r>
    </w:p>
    <w:p w:rsidR="003E2173" w:rsidRDefault="004B0ECA">
      <w:pPr>
        <w:spacing w:line="240" w:lineRule="auto"/>
        <w:ind w:firstLineChars="0" w:firstLine="0"/>
        <w:rPr>
          <w:b/>
          <w:bCs/>
          <w:kern w:val="44"/>
          <w:sz w:val="28"/>
          <w:szCs w:val="44"/>
        </w:rPr>
      </w:pPr>
      <w:r>
        <w:br w:type="page"/>
      </w:r>
    </w:p>
    <w:p w:rsidR="003E2173" w:rsidRDefault="004B0ECA">
      <w:pPr>
        <w:pStyle w:val="1"/>
      </w:pPr>
      <w:bookmarkStart w:id="7" w:name="_Toc523513193"/>
      <w:r>
        <w:lastRenderedPageBreak/>
        <w:t>5</w:t>
      </w:r>
      <w:r>
        <w:rPr>
          <w:rFonts w:hint="eastAsia"/>
        </w:rPr>
        <w:t>、</w:t>
      </w:r>
      <w:r>
        <w:t>环评文件</w:t>
      </w:r>
      <w:r>
        <w:rPr>
          <w:rFonts w:hint="eastAsia"/>
        </w:rPr>
        <w:t>、</w:t>
      </w:r>
      <w:r>
        <w:t>环评批复</w:t>
      </w:r>
      <w:r>
        <w:rPr>
          <w:rFonts w:hint="eastAsia"/>
        </w:rPr>
        <w:t>回顾</w:t>
      </w:r>
      <w:bookmarkEnd w:id="7"/>
      <w:r>
        <w:rPr>
          <w:rFonts w:hint="eastAsia"/>
        </w:rPr>
        <w:t xml:space="preserve">  </w:t>
      </w:r>
    </w:p>
    <w:p w:rsidR="003E2173" w:rsidRDefault="004B0ECA">
      <w:pPr>
        <w:pStyle w:val="2"/>
      </w:pPr>
      <w:bookmarkStart w:id="8" w:name="_Toc511079753"/>
      <w:bookmarkStart w:id="9" w:name="_Toc509579548"/>
      <w:r>
        <w:t>5.1</w:t>
      </w:r>
      <w:r>
        <w:t>环评结论</w:t>
      </w:r>
      <w:bookmarkEnd w:id="8"/>
      <w:bookmarkEnd w:id="9"/>
    </w:p>
    <w:p w:rsidR="003E2173" w:rsidRDefault="004B0ECA">
      <w:pPr>
        <w:ind w:firstLine="480"/>
      </w:pPr>
      <w:r>
        <w:rPr>
          <w:rFonts w:hint="eastAsia"/>
        </w:rPr>
        <w:t>天津君恒投资有限公司主要从事房地产开发，目前在天津市东丽区新立镇津塘公路与规划日新路交口处东北侧购置住宅用地，分</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四个地块进行建设，本项目即为天津君恒投资有限公司东丽建材</w:t>
      </w:r>
      <w:r>
        <w:rPr>
          <w:rFonts w:hint="eastAsia"/>
        </w:rPr>
        <w:t>D</w:t>
      </w:r>
      <w:r>
        <w:rPr>
          <w:rFonts w:hint="eastAsia"/>
        </w:rPr>
        <w:t>地块项目，项目总投资为</w:t>
      </w:r>
      <w:r>
        <w:rPr>
          <w:rFonts w:hint="eastAsia"/>
        </w:rPr>
        <w:t>13680</w:t>
      </w:r>
      <w:r>
        <w:rPr>
          <w:rFonts w:hint="eastAsia"/>
        </w:rPr>
        <w:t>万元，规划用地面积</w:t>
      </w:r>
      <w:r>
        <w:rPr>
          <w:rFonts w:hint="eastAsia"/>
        </w:rPr>
        <w:t>25070m</w:t>
      </w:r>
      <w:r>
        <w:rPr>
          <w:rFonts w:hint="eastAsia"/>
          <w:vertAlign w:val="superscript"/>
        </w:rPr>
        <w:t>2</w:t>
      </w:r>
      <w:r>
        <w:rPr>
          <w:rFonts w:hint="eastAsia"/>
        </w:rPr>
        <w:t>，总建筑面积</w:t>
      </w:r>
      <w:r>
        <w:rPr>
          <w:rFonts w:hint="eastAsia"/>
        </w:rPr>
        <w:t>36385m</w:t>
      </w:r>
      <w:r>
        <w:rPr>
          <w:rFonts w:hint="eastAsia"/>
          <w:vertAlign w:val="superscript"/>
        </w:rPr>
        <w:t>2</w:t>
      </w:r>
      <w:r>
        <w:rPr>
          <w:rFonts w:hint="eastAsia"/>
        </w:rPr>
        <w:t>，其中地上建筑面积</w:t>
      </w:r>
      <w:r>
        <w:rPr>
          <w:rFonts w:hint="eastAsia"/>
        </w:rPr>
        <w:t>34800m</w:t>
      </w:r>
      <w:r>
        <w:rPr>
          <w:rFonts w:hint="eastAsia"/>
          <w:vertAlign w:val="superscript"/>
        </w:rPr>
        <w:t>2</w:t>
      </w:r>
      <w:r>
        <w:rPr>
          <w:rFonts w:hint="eastAsia"/>
        </w:rPr>
        <w:t>，地下建筑面积</w:t>
      </w:r>
      <w:r>
        <w:rPr>
          <w:rFonts w:hint="eastAsia"/>
        </w:rPr>
        <w:t>1585m</w:t>
      </w:r>
      <w:r>
        <w:rPr>
          <w:rFonts w:hint="eastAsia"/>
          <w:vertAlign w:val="superscript"/>
        </w:rPr>
        <w:t>2</w:t>
      </w:r>
      <w:r>
        <w:rPr>
          <w:rFonts w:hint="eastAsia"/>
        </w:rPr>
        <w:t>。</w:t>
      </w:r>
    </w:p>
    <w:p w:rsidR="003E2173" w:rsidRDefault="004B0ECA">
      <w:pPr>
        <w:ind w:firstLine="480"/>
        <w:rPr>
          <w:rFonts w:cs="Times New Roman"/>
        </w:rPr>
      </w:pPr>
      <w:r>
        <w:rPr>
          <w:rFonts w:cs="Times New Roman"/>
        </w:rPr>
        <w:t>住宅建筑面积</w:t>
      </w:r>
      <w:r>
        <w:rPr>
          <w:rFonts w:cs="Times New Roman"/>
        </w:rPr>
        <w:t>34310 m</w:t>
      </w:r>
      <w:r>
        <w:rPr>
          <w:rFonts w:cs="Times New Roman"/>
          <w:vertAlign w:val="superscript"/>
        </w:rPr>
        <w:t>2</w:t>
      </w:r>
      <w:r>
        <w:rPr>
          <w:rFonts w:cs="Times New Roman"/>
        </w:rPr>
        <w:t>，建设</w:t>
      </w:r>
      <w:r>
        <w:rPr>
          <w:rFonts w:cs="Times New Roman"/>
        </w:rPr>
        <w:t>8</w:t>
      </w:r>
      <w:r>
        <w:rPr>
          <w:rFonts w:cs="Times New Roman"/>
        </w:rPr>
        <w:t>栋住宅楼（</w:t>
      </w:r>
      <w:r>
        <w:rPr>
          <w:rFonts w:cs="Times New Roman"/>
        </w:rPr>
        <w:t>11</w:t>
      </w:r>
      <w:r>
        <w:rPr>
          <w:rFonts w:cs="Times New Roman"/>
        </w:rPr>
        <w:t>层</w:t>
      </w:r>
      <w:r>
        <w:rPr>
          <w:rFonts w:cs="Times New Roman"/>
        </w:rPr>
        <w:t>1</w:t>
      </w:r>
      <w:r>
        <w:rPr>
          <w:rFonts w:cs="Times New Roman"/>
        </w:rPr>
        <w:t>栋、</w:t>
      </w:r>
      <w:r>
        <w:rPr>
          <w:rFonts w:cs="Times New Roman"/>
        </w:rPr>
        <w:t>10</w:t>
      </w:r>
      <w:r>
        <w:rPr>
          <w:rFonts w:cs="Times New Roman"/>
        </w:rPr>
        <w:t>层</w:t>
      </w:r>
      <w:r>
        <w:rPr>
          <w:rFonts w:cs="Times New Roman"/>
        </w:rPr>
        <w:t>1</w:t>
      </w:r>
      <w:r>
        <w:rPr>
          <w:rFonts w:cs="Times New Roman"/>
        </w:rPr>
        <w:t>栋、</w:t>
      </w:r>
      <w:r>
        <w:rPr>
          <w:rFonts w:cs="Times New Roman"/>
        </w:rPr>
        <w:t>7</w:t>
      </w:r>
      <w:r>
        <w:rPr>
          <w:rFonts w:cs="Times New Roman"/>
        </w:rPr>
        <w:t>层</w:t>
      </w:r>
      <w:r>
        <w:rPr>
          <w:rFonts w:cs="Times New Roman"/>
        </w:rPr>
        <w:t>3</w:t>
      </w:r>
      <w:r>
        <w:rPr>
          <w:rFonts w:cs="Times New Roman"/>
        </w:rPr>
        <w:t>栋、</w:t>
      </w:r>
      <w:r>
        <w:rPr>
          <w:rFonts w:cs="Times New Roman"/>
        </w:rPr>
        <w:t>14</w:t>
      </w:r>
      <w:r>
        <w:rPr>
          <w:rFonts w:cs="Times New Roman"/>
        </w:rPr>
        <w:t>层</w:t>
      </w:r>
      <w:r>
        <w:rPr>
          <w:rFonts w:cs="Times New Roman"/>
        </w:rPr>
        <w:t>3</w:t>
      </w:r>
      <w:r>
        <w:rPr>
          <w:rFonts w:cs="Times New Roman"/>
        </w:rPr>
        <w:t>栋）</w:t>
      </w:r>
      <w:r>
        <w:rPr>
          <w:rFonts w:hint="eastAsia"/>
        </w:rPr>
        <w:t>，住宅总建筑面积</w:t>
      </w:r>
      <w:r>
        <w:rPr>
          <w:rFonts w:hint="eastAsia"/>
        </w:rPr>
        <w:t>34310.00m</w:t>
      </w:r>
      <w:r>
        <w:rPr>
          <w:rFonts w:hint="eastAsia"/>
          <w:vertAlign w:val="superscript"/>
        </w:rPr>
        <w:t>2</w:t>
      </w:r>
      <w:r>
        <w:rPr>
          <w:rFonts w:hint="eastAsia"/>
        </w:rPr>
        <w:t>。住宅地下部分建设内容为每栋楼所设置地下储物间，共</w:t>
      </w:r>
      <w:r>
        <w:rPr>
          <w:rFonts w:hint="eastAsia"/>
        </w:rPr>
        <w:t>1160m</w:t>
      </w:r>
      <w:r>
        <w:rPr>
          <w:rFonts w:hint="eastAsia"/>
          <w:vertAlign w:val="superscript"/>
        </w:rPr>
        <w:t>2</w:t>
      </w:r>
      <w:r>
        <w:rPr>
          <w:rFonts w:hint="eastAsia"/>
        </w:rPr>
        <w:t>。</w:t>
      </w:r>
    </w:p>
    <w:p w:rsidR="003E2173" w:rsidRDefault="004B0ECA">
      <w:pPr>
        <w:ind w:firstLine="480"/>
        <w:rPr>
          <w:rFonts w:cs="Times New Roman"/>
        </w:rPr>
      </w:pPr>
      <w:r>
        <w:rPr>
          <w:rFonts w:cs="Times New Roman" w:hint="eastAsia"/>
        </w:rPr>
        <w:t>公建地上部分：公建</w:t>
      </w:r>
      <w:r>
        <w:rPr>
          <w:rFonts w:cs="Times New Roman" w:hint="eastAsia"/>
        </w:rPr>
        <w:t>1</w:t>
      </w:r>
      <w:r>
        <w:rPr>
          <w:rFonts w:cs="Times New Roman" w:hint="eastAsia"/>
        </w:rPr>
        <w:t>栋，共</w:t>
      </w:r>
      <w:r>
        <w:rPr>
          <w:rFonts w:cs="Times New Roman" w:hint="eastAsia"/>
        </w:rPr>
        <w:t>3</w:t>
      </w:r>
      <w:r>
        <w:rPr>
          <w:rFonts w:cs="Times New Roman" w:hint="eastAsia"/>
        </w:rPr>
        <w:t>层，建筑面积</w:t>
      </w:r>
      <w:r>
        <w:rPr>
          <w:rFonts w:cs="Times New Roman" w:hint="eastAsia"/>
        </w:rPr>
        <w:t>490m</w:t>
      </w:r>
      <w:r>
        <w:rPr>
          <w:rFonts w:cs="Times New Roman" w:hint="eastAsia"/>
          <w:vertAlign w:val="superscript"/>
        </w:rPr>
        <w:t>2</w:t>
      </w:r>
      <w:r>
        <w:rPr>
          <w:rFonts w:cs="Times New Roman" w:hint="eastAsia"/>
        </w:rPr>
        <w:t>，主要建设内容为物业管理用房、电讯设备间、便利店、</w:t>
      </w:r>
      <w:r>
        <w:rPr>
          <w:rFonts w:cs="Times New Roman" w:hint="eastAsia"/>
        </w:rPr>
        <w:t>10kv</w:t>
      </w:r>
      <w:r>
        <w:rPr>
          <w:rFonts w:cs="Times New Roman" w:hint="eastAsia"/>
        </w:rPr>
        <w:t>土建变电站、燃气调压柜。公建地下部分，建筑面积</w:t>
      </w:r>
      <w:r>
        <w:rPr>
          <w:rFonts w:cs="Times New Roman" w:hint="eastAsia"/>
        </w:rPr>
        <w:t>425m</w:t>
      </w:r>
      <w:r>
        <w:rPr>
          <w:rFonts w:cs="Times New Roman" w:hint="eastAsia"/>
          <w:vertAlign w:val="superscript"/>
        </w:rPr>
        <w:t>2</w:t>
      </w:r>
      <w:r>
        <w:rPr>
          <w:rFonts w:cs="Times New Roman" w:hint="eastAsia"/>
        </w:rPr>
        <w:t>，主要为换热站、消防泵房、消防水池、生活泵房、中水泵房。项目供热采用集中供热。本项目建成后可居住户数</w:t>
      </w:r>
      <w:r>
        <w:rPr>
          <w:rFonts w:cs="Times New Roman" w:hint="eastAsia"/>
        </w:rPr>
        <w:t>350</w:t>
      </w:r>
      <w:r>
        <w:rPr>
          <w:rFonts w:cs="Times New Roman" w:hint="eastAsia"/>
        </w:rPr>
        <w:t>户，居住人口</w:t>
      </w:r>
      <w:r>
        <w:rPr>
          <w:rFonts w:cs="Times New Roman" w:hint="eastAsia"/>
        </w:rPr>
        <w:t>980</w:t>
      </w:r>
      <w:r>
        <w:rPr>
          <w:rFonts w:cs="Times New Roman" w:hint="eastAsia"/>
        </w:rPr>
        <w:t>人，项目建设周期为</w:t>
      </w:r>
      <w:r>
        <w:rPr>
          <w:rFonts w:cs="Times New Roman" w:hint="eastAsia"/>
        </w:rPr>
        <w:t>2012</w:t>
      </w:r>
      <w:r>
        <w:rPr>
          <w:rFonts w:cs="Times New Roman" w:hint="eastAsia"/>
        </w:rPr>
        <w:t>年</w:t>
      </w:r>
      <w:r>
        <w:rPr>
          <w:rFonts w:cs="Times New Roman" w:hint="eastAsia"/>
        </w:rPr>
        <w:t>6</w:t>
      </w:r>
      <w:r>
        <w:rPr>
          <w:rFonts w:cs="Times New Roman" w:hint="eastAsia"/>
        </w:rPr>
        <w:t>月至</w:t>
      </w:r>
      <w:r>
        <w:rPr>
          <w:rFonts w:cs="Times New Roman" w:hint="eastAsia"/>
        </w:rPr>
        <w:t>2013</w:t>
      </w:r>
      <w:r>
        <w:rPr>
          <w:rFonts w:cs="Times New Roman" w:hint="eastAsia"/>
        </w:rPr>
        <w:t>年</w:t>
      </w:r>
      <w:r>
        <w:rPr>
          <w:rFonts w:cs="Times New Roman" w:hint="eastAsia"/>
        </w:rPr>
        <w:t>5</w:t>
      </w:r>
      <w:r>
        <w:rPr>
          <w:rFonts w:cs="Times New Roman" w:hint="eastAsia"/>
        </w:rPr>
        <w:t>月。</w:t>
      </w:r>
    </w:p>
    <w:p w:rsidR="003E2173" w:rsidRDefault="004B0ECA">
      <w:pPr>
        <w:ind w:firstLine="480"/>
        <w:rPr>
          <w:rFonts w:cs="Times New Roman"/>
        </w:rPr>
      </w:pPr>
      <w:r>
        <w:rPr>
          <w:rFonts w:cs="Times New Roman" w:hint="eastAsia"/>
        </w:rPr>
        <w:t>本项目环保投资</w:t>
      </w:r>
      <w:r>
        <w:rPr>
          <w:rFonts w:cs="Times New Roman" w:hint="eastAsia"/>
        </w:rPr>
        <w:t>140</w:t>
      </w:r>
      <w:r>
        <w:rPr>
          <w:rFonts w:cs="Times New Roman" w:hint="eastAsia"/>
        </w:rPr>
        <w:t>万元，主要用于施工扬尘与噪声防治措施、固体废物收集、设备噪声控制及绿化等。</w:t>
      </w:r>
    </w:p>
    <w:p w:rsidR="003E2173" w:rsidRDefault="004B0ECA">
      <w:pPr>
        <w:ind w:firstLine="480"/>
        <w:rPr>
          <w:rFonts w:cs="Times New Roman"/>
        </w:rPr>
      </w:pPr>
      <w:r>
        <w:rPr>
          <w:rFonts w:cs="Times New Roman" w:hint="eastAsia"/>
        </w:rPr>
        <w:t>目前，本项目已经通过天津市东丽区发展和改革委员会批复（津丽发改许可</w:t>
      </w:r>
      <w:r>
        <w:rPr>
          <w:rFonts w:cs="Times New Roman" w:hint="eastAsia"/>
        </w:rPr>
        <w:t>[2012]10</w:t>
      </w:r>
      <w:r>
        <w:rPr>
          <w:rFonts w:cs="Times New Roman" w:hint="eastAsia"/>
        </w:rPr>
        <w:t>号）。</w:t>
      </w:r>
    </w:p>
    <w:p w:rsidR="003E2173" w:rsidRDefault="004B0ECA">
      <w:pPr>
        <w:ind w:firstLine="480"/>
      </w:pPr>
      <w:r>
        <w:rPr>
          <w:rFonts w:hint="eastAsia"/>
        </w:rPr>
        <w:t>（</w:t>
      </w:r>
      <w:r>
        <w:rPr>
          <w:rFonts w:hint="eastAsia"/>
        </w:rPr>
        <w:t>1</w:t>
      </w:r>
      <w:r>
        <w:rPr>
          <w:rFonts w:hint="eastAsia"/>
        </w:rPr>
        <w:t>）施工期固废</w:t>
      </w:r>
      <w:r>
        <w:t>防治措施</w:t>
      </w:r>
    </w:p>
    <w:p w:rsidR="003E2173" w:rsidRDefault="004B0ECA">
      <w:pPr>
        <w:ind w:firstLine="480"/>
      </w:pPr>
      <w:r>
        <w:rPr>
          <w:rFonts w:hint="eastAsia"/>
        </w:rPr>
        <w:t>施工期间的固体废物主要是施工期间的建筑垃圾和民工生活垃圾，建筑垃圾要集中堆放并苫盖及时清运；施工人员产生的生活垃圾采用袋装收集，垃圾桶存放由市容部门定时清运，避免产生二次污染。</w:t>
      </w:r>
    </w:p>
    <w:p w:rsidR="003E2173" w:rsidRDefault="004B0ECA">
      <w:pPr>
        <w:ind w:firstLineChars="183" w:firstLine="439"/>
      </w:pPr>
      <w:r>
        <w:rPr>
          <w:rFonts w:hint="eastAsia"/>
        </w:rPr>
        <w:t>（</w:t>
      </w:r>
      <w:r>
        <w:rPr>
          <w:rFonts w:hint="eastAsia"/>
        </w:rPr>
        <w:t>2</w:t>
      </w:r>
      <w:r>
        <w:rPr>
          <w:rFonts w:hint="eastAsia"/>
        </w:rPr>
        <w:t>）使用期固废防治措施</w:t>
      </w:r>
    </w:p>
    <w:p w:rsidR="003E2173" w:rsidRDefault="004B0ECA">
      <w:pPr>
        <w:ind w:firstLineChars="183" w:firstLine="439"/>
      </w:pPr>
      <w:r>
        <w:rPr>
          <w:rFonts w:hint="eastAsia"/>
        </w:rPr>
        <w:t>本项目使用期固体废物主要为住宅区居民、物业管理人员日常生活、办公产生的生活垃圾，其主要成分是废纸、塑料和食物残渣等。根据工程分析，本项目生活垃圾产生量约</w:t>
      </w:r>
      <w:r>
        <w:rPr>
          <w:rFonts w:hint="eastAsia"/>
        </w:rPr>
        <w:t>287.6t/a</w:t>
      </w:r>
      <w:r>
        <w:rPr>
          <w:rFonts w:hint="eastAsia"/>
        </w:rPr>
        <w:t>。应与环卫部门保洁队达成清运协议，保证日产日清，</w:t>
      </w:r>
      <w:r>
        <w:rPr>
          <w:rFonts w:hint="eastAsia"/>
        </w:rPr>
        <w:lastRenderedPageBreak/>
        <w:t>及时清运，防止出现二次污染问题，建筑每层楼的出入口和楼道均设置垃圾箱，日常垃圾实行分类袋装、密闭存放，集中堆放在垃圾箱内，做到当日产生，当日清运，由环卫部门保洁队统一清运处置，防止垃圾腐烂变质。垃圾袋集中箱要定期消毒，杀菌，保持清洁卫生，预计不会对周围环境造成不利影响。</w:t>
      </w:r>
    </w:p>
    <w:p w:rsidR="003E2173" w:rsidRDefault="004B0ECA">
      <w:pPr>
        <w:pStyle w:val="2"/>
      </w:pPr>
      <w:r>
        <w:rPr>
          <w:rFonts w:hint="eastAsia"/>
        </w:rPr>
        <w:t>5.2</w:t>
      </w:r>
      <w:r>
        <w:rPr>
          <w:rFonts w:hint="eastAsia"/>
        </w:rPr>
        <w:t>环评批复回顾</w:t>
      </w:r>
    </w:p>
    <w:p w:rsidR="006249E6" w:rsidRDefault="006249E6" w:rsidP="00893027">
      <w:pPr>
        <w:pStyle w:val="a0"/>
        <w:spacing w:beforeLines="0"/>
        <w:ind w:firstLine="480"/>
        <w:jc w:val="both"/>
      </w:pPr>
      <w:r>
        <w:rPr>
          <w:rFonts w:hint="eastAsia"/>
        </w:rPr>
        <w:t>见附件</w:t>
      </w:r>
      <w:r>
        <w:rPr>
          <w:rFonts w:hint="eastAsia"/>
        </w:rPr>
        <w:t>3</w:t>
      </w:r>
      <w:r>
        <w:rPr>
          <w:rFonts w:hint="eastAsia"/>
        </w:rPr>
        <w:t>。</w:t>
      </w:r>
    </w:p>
    <w:p w:rsidR="003E2173" w:rsidRDefault="004B0ECA">
      <w:pPr>
        <w:pStyle w:val="1"/>
      </w:pPr>
      <w:bookmarkStart w:id="10" w:name="_Toc523513194"/>
      <w:r>
        <w:rPr>
          <w:rFonts w:hint="eastAsia"/>
        </w:rPr>
        <w:t>6</w:t>
      </w:r>
      <w:r>
        <w:rPr>
          <w:rFonts w:hint="eastAsia"/>
        </w:rPr>
        <w:t>、</w:t>
      </w:r>
      <w:r w:rsidR="008F4934">
        <w:rPr>
          <w:rFonts w:hint="eastAsia"/>
        </w:rPr>
        <w:t>验收监测重点</w:t>
      </w:r>
      <w:bookmarkEnd w:id="10"/>
    </w:p>
    <w:p w:rsidR="008F4934" w:rsidRPr="008F4934" w:rsidRDefault="008F4934" w:rsidP="008F4934">
      <w:pPr>
        <w:ind w:firstLine="480"/>
      </w:pPr>
      <w:r>
        <w:rPr>
          <w:rFonts w:hint="eastAsia"/>
        </w:rPr>
        <w:t>根据本项目环评及环评批复对污染物及其防治措施的要求，本次验收重点为固废暂存措施、排污口规范化和环境管理检查。</w:t>
      </w:r>
    </w:p>
    <w:p w:rsidR="008F4934" w:rsidRDefault="008F4934" w:rsidP="008F4934">
      <w:pPr>
        <w:pStyle w:val="1"/>
      </w:pPr>
      <w:bookmarkStart w:id="11" w:name="_Toc523513195"/>
      <w:r>
        <w:rPr>
          <w:rFonts w:hint="eastAsia"/>
        </w:rPr>
        <w:t>7</w:t>
      </w:r>
      <w:r w:rsidR="00630E7E">
        <w:rPr>
          <w:rFonts w:hint="eastAsia"/>
        </w:rPr>
        <w:t>、</w:t>
      </w:r>
      <w:r>
        <w:rPr>
          <w:rFonts w:hint="eastAsia"/>
        </w:rPr>
        <w:t>环境管理检查</w:t>
      </w:r>
      <w:bookmarkEnd w:id="11"/>
    </w:p>
    <w:p w:rsidR="008F4934" w:rsidRDefault="008F4934" w:rsidP="008F4934">
      <w:pPr>
        <w:pStyle w:val="2"/>
      </w:pPr>
      <w:r>
        <w:rPr>
          <w:rFonts w:hint="eastAsia"/>
        </w:rPr>
        <w:t>7.1</w:t>
      </w:r>
      <w:r>
        <w:rPr>
          <w:rFonts w:hint="eastAsia"/>
        </w:rPr>
        <w:t>环境管理制度</w:t>
      </w:r>
    </w:p>
    <w:p w:rsidR="00630E7E" w:rsidRPr="00630E7E" w:rsidRDefault="00630E7E" w:rsidP="00630E7E">
      <w:pPr>
        <w:widowControl w:val="0"/>
        <w:ind w:firstLine="480"/>
        <w:jc w:val="both"/>
        <w:rPr>
          <w:rFonts w:cs="Times New Roman"/>
          <w:color w:val="auto"/>
          <w:szCs w:val="24"/>
        </w:rPr>
      </w:pPr>
      <w:bookmarkStart w:id="12" w:name="_Toc18231"/>
      <w:r w:rsidRPr="00630E7E">
        <w:rPr>
          <w:rFonts w:ascii="宋体" w:hAnsi="宋体" w:hint="eastAsia"/>
          <w:color w:val="auto"/>
          <w:szCs w:val="24"/>
          <w:lang/>
        </w:rPr>
        <w:t>（</w:t>
      </w:r>
      <w:bookmarkEnd w:id="12"/>
      <w:r w:rsidRPr="00630E7E">
        <w:rPr>
          <w:rFonts w:cs="Times New Roman"/>
          <w:color w:val="auto"/>
          <w:szCs w:val="24"/>
          <w:lang/>
        </w:rPr>
        <w:t>1</w:t>
      </w:r>
      <w:r w:rsidRPr="00630E7E">
        <w:rPr>
          <w:rFonts w:ascii="宋体" w:hAnsi="宋体" w:hint="eastAsia"/>
          <w:color w:val="auto"/>
          <w:szCs w:val="24"/>
          <w:lang/>
        </w:rPr>
        <w:t>）施工期</w:t>
      </w:r>
    </w:p>
    <w:p w:rsidR="00630E7E" w:rsidRPr="00630E7E" w:rsidRDefault="00630E7E" w:rsidP="00630E7E">
      <w:pPr>
        <w:widowControl w:val="0"/>
        <w:ind w:firstLine="480"/>
        <w:jc w:val="both"/>
        <w:rPr>
          <w:rFonts w:cs="Times New Roman"/>
          <w:color w:val="auto"/>
          <w:szCs w:val="24"/>
        </w:rPr>
      </w:pPr>
      <w:r w:rsidRPr="00630E7E">
        <w:rPr>
          <w:rFonts w:ascii="宋体" w:hAnsi="宋体" w:hint="eastAsia"/>
          <w:color w:val="auto"/>
          <w:szCs w:val="24"/>
          <w:lang/>
        </w:rPr>
        <w:t>工程环境监理工作作为建设项目环境保护工作的重要组成部分，是建设项目全过程环境保护中不可缺少的重要环节，目的就是将国家有关的资源环节保护法律法规、环节质量法规、建设项目环境影响评价报告表等要求贯彻落实到工程的设计和施工管理工作中。监理单位在施工期间监督施工单位扬尘控制、噪声隔板、减振降噪、固废处理等工作。</w:t>
      </w:r>
    </w:p>
    <w:p w:rsidR="00630E7E" w:rsidRPr="00630E7E" w:rsidRDefault="00630E7E" w:rsidP="00630E7E">
      <w:pPr>
        <w:widowControl w:val="0"/>
        <w:ind w:firstLine="480"/>
        <w:jc w:val="both"/>
        <w:rPr>
          <w:rFonts w:cs="Times New Roman"/>
          <w:color w:val="auto"/>
          <w:szCs w:val="24"/>
        </w:rPr>
      </w:pPr>
      <w:bookmarkStart w:id="13" w:name="_Toc27532"/>
      <w:bookmarkStart w:id="14" w:name="_Toc5347"/>
      <w:bookmarkStart w:id="15" w:name="_Toc10815"/>
      <w:bookmarkStart w:id="16" w:name="_Toc21482"/>
      <w:bookmarkStart w:id="17" w:name="_Toc15786"/>
      <w:bookmarkEnd w:id="13"/>
      <w:bookmarkEnd w:id="14"/>
      <w:bookmarkEnd w:id="15"/>
      <w:bookmarkEnd w:id="16"/>
      <w:r w:rsidRPr="00630E7E">
        <w:rPr>
          <w:rFonts w:ascii="宋体" w:hAnsi="宋体" w:hint="eastAsia"/>
          <w:color w:val="auto"/>
          <w:szCs w:val="24"/>
          <w:lang/>
        </w:rPr>
        <w:t>（</w:t>
      </w:r>
      <w:bookmarkEnd w:id="17"/>
      <w:r w:rsidRPr="00630E7E">
        <w:rPr>
          <w:rFonts w:cs="Times New Roman"/>
          <w:color w:val="auto"/>
          <w:szCs w:val="24"/>
          <w:lang/>
        </w:rPr>
        <w:t>2</w:t>
      </w:r>
      <w:r w:rsidRPr="00630E7E">
        <w:rPr>
          <w:rFonts w:ascii="宋体" w:hAnsi="宋体" w:hint="eastAsia"/>
          <w:color w:val="auto"/>
          <w:szCs w:val="24"/>
          <w:lang/>
        </w:rPr>
        <w:t>）运营期</w:t>
      </w:r>
    </w:p>
    <w:p w:rsidR="008F4934" w:rsidRDefault="00630E7E" w:rsidP="00630E7E">
      <w:pPr>
        <w:pStyle w:val="a0"/>
        <w:spacing w:beforeLines="0"/>
        <w:ind w:firstLine="480"/>
      </w:pPr>
      <w:r w:rsidRPr="00630E7E">
        <w:rPr>
          <w:rFonts w:ascii="宋体" w:hAnsi="宋体" w:hint="eastAsia"/>
          <w:color w:val="auto"/>
          <w:szCs w:val="24"/>
          <w:lang/>
        </w:rPr>
        <w:t>运营期由物业管理部门兼管该项目的环境管理工作，加强对小区环保设施的日常运行管理和维护工作、加强小区绿化的养护管理等</w:t>
      </w:r>
    </w:p>
    <w:p w:rsidR="008F4934" w:rsidRDefault="008F4934" w:rsidP="008F4934">
      <w:pPr>
        <w:pStyle w:val="2"/>
      </w:pPr>
      <w:r>
        <w:t>7</w:t>
      </w:r>
      <w:r>
        <w:rPr>
          <w:rFonts w:hint="eastAsia"/>
        </w:rPr>
        <w:t>.2</w:t>
      </w:r>
      <w:r>
        <w:rPr>
          <w:rFonts w:hint="eastAsia"/>
        </w:rPr>
        <w:t>环评及环评批复落实情况</w:t>
      </w:r>
    </w:p>
    <w:p w:rsidR="00B72128" w:rsidRPr="00630E7E" w:rsidRDefault="00B72128" w:rsidP="00801E30">
      <w:pPr>
        <w:widowControl w:val="0"/>
        <w:spacing w:beforeLines="50" w:line="240" w:lineRule="auto"/>
        <w:ind w:firstLineChars="0" w:firstLine="0"/>
        <w:jc w:val="center"/>
        <w:rPr>
          <w:bCs/>
          <w:color w:val="auto"/>
          <w:szCs w:val="24"/>
        </w:rPr>
      </w:pPr>
      <w:r w:rsidRPr="00B72128">
        <w:rPr>
          <w:color w:val="auto"/>
          <w:szCs w:val="24"/>
        </w:rPr>
        <w:t>表</w:t>
      </w:r>
      <w:r>
        <w:rPr>
          <w:bCs/>
          <w:color w:val="auto"/>
          <w:szCs w:val="24"/>
        </w:rPr>
        <w:t>7-1</w:t>
      </w:r>
      <w:r w:rsidRPr="00B72128">
        <w:rPr>
          <w:color w:val="auto"/>
          <w:szCs w:val="24"/>
        </w:rPr>
        <w:t xml:space="preserve"> </w:t>
      </w:r>
      <w:r w:rsidRPr="00B72128">
        <w:rPr>
          <w:rFonts w:hint="eastAsia"/>
          <w:color w:val="auto"/>
          <w:szCs w:val="24"/>
        </w:rPr>
        <w:t>环评及批复要求提出的固体废物污染防治措施</w:t>
      </w:r>
      <w:r w:rsidRPr="00B72128">
        <w:rPr>
          <w:bCs/>
          <w:color w:val="auto"/>
          <w:szCs w:val="24"/>
        </w:rPr>
        <w:t>与</w:t>
      </w:r>
      <w:r w:rsidRPr="00B72128">
        <w:rPr>
          <w:rFonts w:hint="eastAsia"/>
          <w:bCs/>
          <w:color w:val="auto"/>
          <w:szCs w:val="24"/>
        </w:rPr>
        <w:t>落实情况</w:t>
      </w:r>
      <w:r w:rsidRPr="00B72128">
        <w:rPr>
          <w:bCs/>
          <w:color w:val="auto"/>
          <w:szCs w:val="24"/>
        </w:rPr>
        <w:t>对比</w:t>
      </w:r>
    </w:p>
    <w:tbl>
      <w:tblPr>
        <w:tblStyle w:val="31"/>
        <w:tblW w:w="5000" w:type="pct"/>
        <w:jc w:val="center"/>
        <w:tblLook w:val="04A0"/>
      </w:tblPr>
      <w:tblGrid>
        <w:gridCol w:w="1384"/>
        <w:gridCol w:w="3046"/>
        <w:gridCol w:w="4092"/>
      </w:tblGrid>
      <w:tr w:rsidR="00B72128" w:rsidRPr="00B72128" w:rsidTr="00630E7E">
        <w:trPr>
          <w:trHeight w:val="83"/>
          <w:jc w:val="center"/>
        </w:trPr>
        <w:tc>
          <w:tcPr>
            <w:tcW w:w="812" w:type="pct"/>
            <w:vAlign w:val="center"/>
          </w:tcPr>
          <w:p w:rsidR="00B72128" w:rsidRPr="00B72128" w:rsidRDefault="00B72128" w:rsidP="00630E7E">
            <w:pPr>
              <w:spacing w:line="240" w:lineRule="auto"/>
              <w:ind w:firstLineChars="0" w:firstLine="0"/>
              <w:jc w:val="center"/>
              <w:rPr>
                <w:bCs/>
                <w:color w:val="auto"/>
                <w:sz w:val="21"/>
                <w:szCs w:val="21"/>
              </w:rPr>
            </w:pPr>
            <w:r w:rsidRPr="00B72128">
              <w:rPr>
                <w:rFonts w:hint="eastAsia"/>
                <w:bCs/>
                <w:color w:val="auto"/>
                <w:sz w:val="21"/>
                <w:szCs w:val="21"/>
              </w:rPr>
              <w:t>类别</w:t>
            </w:r>
          </w:p>
        </w:tc>
        <w:tc>
          <w:tcPr>
            <w:tcW w:w="1787" w:type="pct"/>
            <w:vAlign w:val="center"/>
          </w:tcPr>
          <w:p w:rsidR="00B72128" w:rsidRPr="00B72128" w:rsidRDefault="00B72128" w:rsidP="00630E7E">
            <w:pPr>
              <w:spacing w:line="240" w:lineRule="auto"/>
              <w:ind w:firstLineChars="0" w:firstLine="0"/>
              <w:jc w:val="center"/>
              <w:rPr>
                <w:bCs/>
                <w:color w:val="auto"/>
                <w:sz w:val="21"/>
                <w:szCs w:val="21"/>
              </w:rPr>
            </w:pPr>
            <w:r w:rsidRPr="00B72128">
              <w:rPr>
                <w:rFonts w:hint="eastAsia"/>
                <w:bCs/>
                <w:color w:val="auto"/>
                <w:sz w:val="21"/>
                <w:szCs w:val="21"/>
              </w:rPr>
              <w:t>环评文件</w:t>
            </w:r>
          </w:p>
        </w:tc>
        <w:tc>
          <w:tcPr>
            <w:tcW w:w="2401" w:type="pct"/>
            <w:vAlign w:val="center"/>
          </w:tcPr>
          <w:p w:rsidR="00B72128" w:rsidRPr="00B72128" w:rsidRDefault="00B72128" w:rsidP="00630E7E">
            <w:pPr>
              <w:spacing w:line="240" w:lineRule="auto"/>
              <w:ind w:firstLineChars="0" w:firstLine="0"/>
              <w:jc w:val="center"/>
              <w:rPr>
                <w:bCs/>
                <w:color w:val="auto"/>
                <w:sz w:val="21"/>
                <w:szCs w:val="21"/>
              </w:rPr>
            </w:pPr>
            <w:r w:rsidRPr="00B72128">
              <w:rPr>
                <w:rFonts w:cs="Times New Roman" w:hint="eastAsia"/>
                <w:color w:val="auto"/>
                <w:sz w:val="21"/>
                <w:szCs w:val="21"/>
              </w:rPr>
              <w:t>环评批复</w:t>
            </w:r>
          </w:p>
        </w:tc>
      </w:tr>
      <w:tr w:rsidR="00B72128" w:rsidRPr="00B72128" w:rsidTr="00630E7E">
        <w:trPr>
          <w:trHeight w:val="640"/>
          <w:jc w:val="center"/>
        </w:trPr>
        <w:tc>
          <w:tcPr>
            <w:tcW w:w="812" w:type="pct"/>
            <w:vAlign w:val="center"/>
          </w:tcPr>
          <w:p w:rsidR="00B72128" w:rsidRPr="00B72128" w:rsidRDefault="00B72128" w:rsidP="00630E7E">
            <w:pPr>
              <w:spacing w:line="240" w:lineRule="auto"/>
              <w:ind w:firstLineChars="0" w:firstLine="0"/>
              <w:jc w:val="center"/>
              <w:rPr>
                <w:bCs/>
                <w:color w:val="auto"/>
                <w:sz w:val="21"/>
                <w:szCs w:val="21"/>
              </w:rPr>
            </w:pPr>
            <w:r w:rsidRPr="00B72128">
              <w:rPr>
                <w:rFonts w:hint="eastAsia"/>
                <w:bCs/>
                <w:color w:val="auto"/>
                <w:sz w:val="21"/>
                <w:szCs w:val="21"/>
              </w:rPr>
              <w:t>固体废物</w:t>
            </w:r>
            <w:r w:rsidRPr="00B72128">
              <w:rPr>
                <w:bCs/>
                <w:color w:val="auto"/>
                <w:sz w:val="21"/>
                <w:szCs w:val="21"/>
              </w:rPr>
              <w:t>污染防治措施及建议</w:t>
            </w:r>
          </w:p>
        </w:tc>
        <w:tc>
          <w:tcPr>
            <w:tcW w:w="1787" w:type="pct"/>
            <w:vAlign w:val="center"/>
          </w:tcPr>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t>施工人员的生活垃圾集中收集，统一交由环卫部门处理。</w:t>
            </w:r>
          </w:p>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t>建筑物内的施工垃圾清运必须采取封闭式垃圾道或封闭式容器吊运。施工现场应设密闭式</w:t>
            </w:r>
            <w:r w:rsidRPr="00B72128">
              <w:rPr>
                <w:rFonts w:hint="eastAsia"/>
                <w:bCs/>
                <w:color w:val="auto"/>
                <w:sz w:val="21"/>
                <w:szCs w:val="21"/>
              </w:rPr>
              <w:lastRenderedPageBreak/>
              <w:t>垃圾站，施工垃圾、生活垃圾分类存放。施工垃圾清运时应提前适量洒水，并按规定及时清运。</w:t>
            </w:r>
          </w:p>
        </w:tc>
        <w:tc>
          <w:tcPr>
            <w:tcW w:w="2401" w:type="pct"/>
            <w:vAlign w:val="center"/>
          </w:tcPr>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lastRenderedPageBreak/>
              <w:t>施工人员产生的生活垃圾，施工过程中产生的建筑垃圾须经收集后交有关单位处理，严禁随意堆放、丢弃，防止二次污染。</w:t>
            </w:r>
          </w:p>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t>运营期所产生的生活垃圾应集中存放及时交环卫部门清运处理，严禁随意堆放、丢</w:t>
            </w:r>
            <w:r w:rsidRPr="00B72128">
              <w:rPr>
                <w:rFonts w:hint="eastAsia"/>
                <w:bCs/>
                <w:color w:val="auto"/>
                <w:sz w:val="21"/>
                <w:szCs w:val="21"/>
              </w:rPr>
              <w:lastRenderedPageBreak/>
              <w:t>弃，防止二次污染。</w:t>
            </w:r>
          </w:p>
        </w:tc>
      </w:tr>
      <w:tr w:rsidR="00B72128" w:rsidRPr="00B72128" w:rsidTr="00630E7E">
        <w:trPr>
          <w:trHeight w:val="1240"/>
          <w:jc w:val="center"/>
        </w:trPr>
        <w:tc>
          <w:tcPr>
            <w:tcW w:w="812" w:type="pct"/>
            <w:vAlign w:val="center"/>
          </w:tcPr>
          <w:p w:rsidR="00B72128" w:rsidRPr="00B72128" w:rsidRDefault="00B72128" w:rsidP="00630E7E">
            <w:pPr>
              <w:spacing w:line="240" w:lineRule="auto"/>
              <w:ind w:firstLineChars="0" w:firstLine="0"/>
              <w:jc w:val="center"/>
              <w:rPr>
                <w:rFonts w:cs="Times New Roman"/>
                <w:color w:val="auto"/>
                <w:sz w:val="21"/>
                <w:szCs w:val="21"/>
              </w:rPr>
            </w:pPr>
            <w:r w:rsidRPr="00B72128">
              <w:rPr>
                <w:rFonts w:hint="eastAsia"/>
                <w:bCs/>
                <w:color w:val="auto"/>
                <w:sz w:val="21"/>
                <w:szCs w:val="21"/>
              </w:rPr>
              <w:lastRenderedPageBreak/>
              <w:t>落实</w:t>
            </w:r>
            <w:r w:rsidRPr="00B72128">
              <w:rPr>
                <w:bCs/>
                <w:color w:val="auto"/>
                <w:sz w:val="21"/>
                <w:szCs w:val="21"/>
              </w:rPr>
              <w:t>情况</w:t>
            </w:r>
          </w:p>
        </w:tc>
        <w:tc>
          <w:tcPr>
            <w:tcW w:w="1787" w:type="pct"/>
            <w:vAlign w:val="center"/>
          </w:tcPr>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t>已落实，建筑工人产生的生活垃圾投掷垃圾桶内，定期由环卫部门统一拉走处理。</w:t>
            </w:r>
          </w:p>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t>已落实，施工垃圾分类收集，对可利用的建筑垃圾进行回收</w:t>
            </w:r>
            <w:r>
              <w:rPr>
                <w:rFonts w:hint="eastAsia"/>
                <w:bCs/>
                <w:color w:val="auto"/>
                <w:sz w:val="21"/>
                <w:szCs w:val="21"/>
              </w:rPr>
              <w:t>利用，定时清理垃圾收集场所</w:t>
            </w:r>
            <w:r w:rsidRPr="00B72128">
              <w:rPr>
                <w:rFonts w:hint="eastAsia"/>
                <w:bCs/>
                <w:color w:val="auto"/>
                <w:sz w:val="21"/>
                <w:szCs w:val="21"/>
              </w:rPr>
              <w:t>。</w:t>
            </w:r>
          </w:p>
        </w:tc>
        <w:tc>
          <w:tcPr>
            <w:tcW w:w="2401" w:type="pct"/>
            <w:vAlign w:val="center"/>
          </w:tcPr>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t>施工民工的生活垃圾集中存放，定期清理。</w:t>
            </w:r>
          </w:p>
          <w:p w:rsidR="00B72128" w:rsidRPr="00B72128" w:rsidRDefault="00B72128" w:rsidP="00630E7E">
            <w:pPr>
              <w:spacing w:line="240" w:lineRule="auto"/>
              <w:ind w:firstLineChars="0" w:firstLine="0"/>
              <w:rPr>
                <w:bCs/>
                <w:color w:val="auto"/>
                <w:sz w:val="21"/>
                <w:szCs w:val="21"/>
              </w:rPr>
            </w:pPr>
            <w:r w:rsidRPr="00B72128">
              <w:rPr>
                <w:rFonts w:hint="eastAsia"/>
                <w:bCs/>
                <w:color w:val="auto"/>
                <w:sz w:val="21"/>
                <w:szCs w:val="21"/>
              </w:rPr>
              <w:t>本项目生活垃圾经分类收集后由环卫部门定时清运，不会造成二次污染。</w:t>
            </w:r>
          </w:p>
        </w:tc>
      </w:tr>
    </w:tbl>
    <w:p w:rsidR="003E2173" w:rsidRDefault="008F4934">
      <w:pPr>
        <w:pStyle w:val="2"/>
      </w:pPr>
      <w:r>
        <w:t>7</w:t>
      </w:r>
      <w:r w:rsidR="004B0ECA">
        <w:t>.3</w:t>
      </w:r>
      <w:r w:rsidR="004B0ECA">
        <w:rPr>
          <w:rFonts w:hint="eastAsia"/>
        </w:rPr>
        <w:t>环保措施落实情况</w:t>
      </w:r>
      <w:r w:rsidR="004B0ECA">
        <w:t>相关照片</w:t>
      </w:r>
    </w:p>
    <w:p w:rsidR="008F4934" w:rsidRDefault="008F4934" w:rsidP="008F4934">
      <w:pPr>
        <w:pStyle w:val="2"/>
      </w:pPr>
      <w:r>
        <w:rPr>
          <w:rFonts w:hint="eastAsia"/>
        </w:rPr>
        <w:t>7.4</w:t>
      </w:r>
      <w:r>
        <w:rPr>
          <w:rFonts w:hint="eastAsia"/>
        </w:rPr>
        <w:t>环保投资明细</w:t>
      </w:r>
    </w:p>
    <w:p w:rsidR="008F4934" w:rsidRDefault="008F4934" w:rsidP="008F4934">
      <w:pPr>
        <w:ind w:firstLineChars="150" w:firstLine="360"/>
        <w:rPr>
          <w:rFonts w:cs="Times New Roman"/>
          <w:color w:val="auto"/>
          <w:szCs w:val="24"/>
        </w:rPr>
      </w:pPr>
      <w:r>
        <w:rPr>
          <w:rFonts w:hint="eastAsia"/>
          <w:color w:val="171717" w:themeColor="background2" w:themeShade="1A"/>
        </w:rPr>
        <w:t>工程环评阶段总投资概算为</w:t>
      </w:r>
      <w:r>
        <w:t>13680</w:t>
      </w:r>
      <w:r>
        <w:rPr>
          <w:rFonts w:hAnsi="宋体" w:hint="eastAsia"/>
          <w:color w:val="171717" w:themeColor="background2" w:themeShade="1A"/>
        </w:rPr>
        <w:t>万</w:t>
      </w:r>
      <w:r>
        <w:rPr>
          <w:rFonts w:hint="eastAsia"/>
          <w:color w:val="171717" w:themeColor="background2" w:themeShade="1A"/>
        </w:rPr>
        <w:t>元</w:t>
      </w:r>
      <w:r>
        <w:rPr>
          <w:rFonts w:hint="eastAsia"/>
          <w:color w:val="auto"/>
        </w:rPr>
        <w:t>，</w:t>
      </w:r>
      <w:r>
        <w:rPr>
          <w:rFonts w:cs="Times New Roman"/>
          <w:color w:val="auto"/>
          <w:szCs w:val="24"/>
        </w:rPr>
        <w:t>实际环保投资</w:t>
      </w:r>
      <w:r>
        <w:rPr>
          <w:rFonts w:cs="Times New Roman" w:hint="eastAsia"/>
          <w:color w:val="auto"/>
          <w:szCs w:val="24"/>
        </w:rPr>
        <w:t>人民币</w:t>
      </w:r>
      <w:r>
        <w:rPr>
          <w:rFonts w:cs="Times New Roman"/>
          <w:color w:val="auto"/>
          <w:szCs w:val="24"/>
        </w:rPr>
        <w:t>140</w:t>
      </w:r>
      <w:r>
        <w:rPr>
          <w:rFonts w:cs="Times New Roman" w:hint="eastAsia"/>
          <w:color w:val="auto"/>
          <w:szCs w:val="24"/>
        </w:rPr>
        <w:t>万</w:t>
      </w:r>
      <w:r>
        <w:rPr>
          <w:rFonts w:cs="Times New Roman"/>
          <w:color w:val="auto"/>
          <w:szCs w:val="24"/>
        </w:rPr>
        <w:t>元，固废投资</w:t>
      </w:r>
      <w:r>
        <w:rPr>
          <w:rFonts w:cs="Times New Roman"/>
          <w:color w:val="auto"/>
          <w:szCs w:val="24"/>
        </w:rPr>
        <w:t>15</w:t>
      </w:r>
      <w:r>
        <w:rPr>
          <w:rFonts w:cs="Times New Roman"/>
          <w:color w:val="auto"/>
          <w:szCs w:val="24"/>
        </w:rPr>
        <w:t>万元，占</w:t>
      </w:r>
      <w:r>
        <w:rPr>
          <w:rFonts w:cs="Times New Roman" w:hint="eastAsia"/>
          <w:color w:val="auto"/>
          <w:szCs w:val="24"/>
        </w:rPr>
        <w:t>投资总额</w:t>
      </w:r>
      <w:r>
        <w:rPr>
          <w:rFonts w:cs="Times New Roman"/>
          <w:color w:val="auto"/>
          <w:szCs w:val="24"/>
        </w:rPr>
        <w:t>的</w:t>
      </w:r>
      <w:r>
        <w:rPr>
          <w:rFonts w:cs="Times New Roman"/>
          <w:color w:val="auto"/>
          <w:szCs w:val="24"/>
        </w:rPr>
        <w:t>0.1%</w:t>
      </w:r>
      <w:r>
        <w:rPr>
          <w:rFonts w:cs="Times New Roman" w:hint="eastAsia"/>
          <w:color w:val="auto"/>
          <w:szCs w:val="24"/>
        </w:rPr>
        <w:t>。</w:t>
      </w:r>
    </w:p>
    <w:p w:rsidR="008F4934" w:rsidRDefault="008F4934" w:rsidP="008F4934">
      <w:pPr>
        <w:ind w:firstLine="480"/>
        <w:rPr>
          <w:color w:val="171717" w:themeColor="background2" w:themeShade="1A"/>
        </w:rPr>
      </w:pPr>
      <w:r>
        <w:rPr>
          <w:rFonts w:cs="Times New Roman" w:hint="eastAsia"/>
          <w:color w:val="171717" w:themeColor="background2" w:themeShade="1A"/>
          <w:szCs w:val="24"/>
        </w:rPr>
        <w:t>天津</w:t>
      </w:r>
      <w:r>
        <w:rPr>
          <w:rFonts w:cs="Times New Roman"/>
          <w:color w:val="171717" w:themeColor="background2" w:themeShade="1A"/>
          <w:szCs w:val="24"/>
        </w:rPr>
        <w:t>君恒投资有限公司东丽建材</w:t>
      </w:r>
      <w:r>
        <w:rPr>
          <w:rFonts w:cs="Times New Roman"/>
          <w:color w:val="171717" w:themeColor="background2" w:themeShade="1A"/>
          <w:szCs w:val="24"/>
        </w:rPr>
        <w:t>D</w:t>
      </w:r>
      <w:r>
        <w:rPr>
          <w:rFonts w:cs="Times New Roman" w:hint="eastAsia"/>
          <w:color w:val="171717" w:themeColor="background2" w:themeShade="1A"/>
          <w:szCs w:val="24"/>
        </w:rPr>
        <w:t>地块</w:t>
      </w:r>
      <w:r>
        <w:rPr>
          <w:rFonts w:cs="Times New Roman"/>
          <w:color w:val="171717" w:themeColor="background2" w:themeShade="1A"/>
          <w:szCs w:val="24"/>
        </w:rPr>
        <w:t>项目</w:t>
      </w:r>
      <w:r>
        <w:rPr>
          <w:rFonts w:cs="Times New Roman" w:hint="eastAsia"/>
          <w:color w:val="171717" w:themeColor="background2" w:themeShade="1A"/>
          <w:szCs w:val="24"/>
        </w:rPr>
        <w:t>（变更）</w:t>
      </w:r>
      <w:r>
        <w:rPr>
          <w:rFonts w:hint="eastAsia"/>
          <w:color w:val="171717" w:themeColor="background2" w:themeShade="1A"/>
        </w:rPr>
        <w:t>总体环保工程投资见表</w:t>
      </w:r>
      <w:r>
        <w:rPr>
          <w:rFonts w:hint="eastAsia"/>
          <w:color w:val="171717" w:themeColor="background2" w:themeShade="1A"/>
        </w:rPr>
        <w:t>7</w:t>
      </w:r>
      <w:r>
        <w:rPr>
          <w:color w:val="171717" w:themeColor="background2" w:themeShade="1A"/>
        </w:rPr>
        <w:t>-</w:t>
      </w:r>
      <w:r w:rsidR="00B72128">
        <w:rPr>
          <w:color w:val="171717" w:themeColor="background2" w:themeShade="1A"/>
        </w:rPr>
        <w:t>2</w:t>
      </w:r>
      <w:r>
        <w:rPr>
          <w:rFonts w:hint="eastAsia"/>
          <w:color w:val="171717" w:themeColor="background2" w:themeShade="1A"/>
        </w:rPr>
        <w:t>。</w:t>
      </w:r>
    </w:p>
    <w:p w:rsidR="008F4934" w:rsidRDefault="008F4934" w:rsidP="008F4934">
      <w:pPr>
        <w:ind w:firstLine="480"/>
        <w:jc w:val="center"/>
        <w:rPr>
          <w:color w:val="171717" w:themeColor="background2" w:themeShade="1A"/>
        </w:rPr>
      </w:pPr>
      <w:r>
        <w:rPr>
          <w:rFonts w:hint="eastAsia"/>
          <w:color w:val="171717" w:themeColor="background2" w:themeShade="1A"/>
        </w:rPr>
        <w:t>表</w:t>
      </w:r>
      <w:r>
        <w:rPr>
          <w:rFonts w:hint="eastAsia"/>
          <w:color w:val="171717" w:themeColor="background2" w:themeShade="1A"/>
        </w:rPr>
        <w:t>7</w:t>
      </w:r>
      <w:r>
        <w:rPr>
          <w:color w:val="171717" w:themeColor="background2" w:themeShade="1A"/>
        </w:rPr>
        <w:t>-</w:t>
      </w:r>
      <w:r w:rsidR="00B72128">
        <w:rPr>
          <w:color w:val="171717" w:themeColor="background2" w:themeShade="1A"/>
        </w:rPr>
        <w:t xml:space="preserve">2 </w:t>
      </w:r>
      <w:r>
        <w:rPr>
          <w:rFonts w:hint="eastAsia"/>
          <w:color w:val="171717" w:themeColor="background2" w:themeShade="1A"/>
        </w:rPr>
        <w:t>环保投资表</w:t>
      </w:r>
    </w:p>
    <w:tbl>
      <w:tblPr>
        <w:tblW w:w="7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2"/>
        <w:gridCol w:w="2978"/>
        <w:gridCol w:w="2414"/>
      </w:tblGrid>
      <w:tr w:rsidR="008F4934" w:rsidTr="00893027">
        <w:trPr>
          <w:trHeight w:val="64"/>
          <w:jc w:val="center"/>
        </w:trPr>
        <w:tc>
          <w:tcPr>
            <w:tcW w:w="1622" w:type="dxa"/>
            <w:vAlign w:val="center"/>
          </w:tcPr>
          <w:p w:rsidR="008F4934" w:rsidRDefault="008F4934" w:rsidP="00893027">
            <w:pPr>
              <w:spacing w:line="240" w:lineRule="auto"/>
              <w:ind w:firstLineChars="0" w:firstLine="0"/>
              <w:jc w:val="center"/>
              <w:rPr>
                <w:rFonts w:cs="Times New Roman"/>
                <w:color w:val="auto"/>
                <w:sz w:val="21"/>
                <w:szCs w:val="21"/>
              </w:rPr>
            </w:pPr>
            <w:r>
              <w:rPr>
                <w:rFonts w:cs="Times New Roman" w:hint="eastAsia"/>
                <w:color w:val="auto"/>
                <w:sz w:val="21"/>
                <w:szCs w:val="21"/>
              </w:rPr>
              <w:t>序号</w:t>
            </w:r>
          </w:p>
        </w:tc>
        <w:tc>
          <w:tcPr>
            <w:tcW w:w="2978" w:type="dxa"/>
            <w:vAlign w:val="center"/>
          </w:tcPr>
          <w:p w:rsidR="008F4934" w:rsidRDefault="008F4934" w:rsidP="00893027">
            <w:pPr>
              <w:spacing w:line="240" w:lineRule="auto"/>
              <w:ind w:firstLineChars="0" w:firstLine="0"/>
              <w:jc w:val="center"/>
              <w:rPr>
                <w:rFonts w:cs="Times New Roman"/>
                <w:color w:val="auto"/>
                <w:sz w:val="21"/>
                <w:szCs w:val="21"/>
              </w:rPr>
            </w:pPr>
            <w:r>
              <w:rPr>
                <w:rFonts w:cs="Times New Roman" w:hint="eastAsia"/>
                <w:color w:val="auto"/>
                <w:sz w:val="21"/>
                <w:szCs w:val="21"/>
              </w:rPr>
              <w:t>名称</w:t>
            </w:r>
          </w:p>
        </w:tc>
        <w:tc>
          <w:tcPr>
            <w:tcW w:w="2414" w:type="dxa"/>
            <w:vAlign w:val="center"/>
          </w:tcPr>
          <w:p w:rsidR="008F4934" w:rsidRDefault="008F4934" w:rsidP="00893027">
            <w:pPr>
              <w:spacing w:line="240" w:lineRule="auto"/>
              <w:ind w:firstLineChars="0" w:firstLine="0"/>
              <w:jc w:val="center"/>
              <w:rPr>
                <w:rFonts w:cs="Times New Roman"/>
                <w:color w:val="auto"/>
                <w:sz w:val="21"/>
                <w:szCs w:val="21"/>
              </w:rPr>
            </w:pPr>
            <w:r>
              <w:rPr>
                <w:rStyle w:val="ab"/>
                <w:rFonts w:hint="eastAsia"/>
                <w:color w:val="auto"/>
              </w:rPr>
              <w:t>投资（万元）</w:t>
            </w:r>
          </w:p>
        </w:tc>
      </w:tr>
      <w:tr w:rsidR="008F4934" w:rsidTr="00893027">
        <w:trPr>
          <w:trHeight w:val="64"/>
          <w:jc w:val="center"/>
        </w:trPr>
        <w:tc>
          <w:tcPr>
            <w:tcW w:w="1622" w:type="dxa"/>
            <w:vAlign w:val="center"/>
          </w:tcPr>
          <w:p w:rsidR="008F4934" w:rsidRDefault="008F4934" w:rsidP="00893027">
            <w:pPr>
              <w:spacing w:line="240" w:lineRule="auto"/>
              <w:ind w:firstLineChars="0" w:firstLine="0"/>
              <w:jc w:val="center"/>
              <w:rPr>
                <w:rFonts w:cs="Times New Roman"/>
                <w:color w:val="auto"/>
                <w:sz w:val="21"/>
                <w:szCs w:val="21"/>
              </w:rPr>
            </w:pPr>
            <w:r>
              <w:rPr>
                <w:rFonts w:cs="Times New Roman"/>
                <w:color w:val="auto"/>
                <w:sz w:val="21"/>
                <w:szCs w:val="21"/>
              </w:rPr>
              <w:t>1</w:t>
            </w:r>
          </w:p>
        </w:tc>
        <w:tc>
          <w:tcPr>
            <w:tcW w:w="2978" w:type="dxa"/>
            <w:vAlign w:val="center"/>
          </w:tcPr>
          <w:p w:rsidR="008F4934" w:rsidRDefault="008F4934" w:rsidP="00893027">
            <w:pPr>
              <w:spacing w:line="240" w:lineRule="auto"/>
              <w:ind w:firstLineChars="0" w:firstLine="0"/>
              <w:jc w:val="center"/>
              <w:rPr>
                <w:rFonts w:cs="Times New Roman"/>
                <w:color w:val="auto"/>
                <w:sz w:val="21"/>
                <w:szCs w:val="21"/>
              </w:rPr>
            </w:pPr>
            <w:r>
              <w:rPr>
                <w:rFonts w:cs="Times New Roman" w:hint="eastAsia"/>
                <w:color w:val="auto"/>
                <w:sz w:val="21"/>
                <w:szCs w:val="21"/>
              </w:rPr>
              <w:t>施工期固废污染防治</w:t>
            </w:r>
          </w:p>
        </w:tc>
        <w:tc>
          <w:tcPr>
            <w:tcW w:w="2414" w:type="dxa"/>
            <w:vAlign w:val="center"/>
          </w:tcPr>
          <w:p w:rsidR="008F4934" w:rsidRDefault="008F4934" w:rsidP="00893027">
            <w:pPr>
              <w:spacing w:line="240" w:lineRule="auto"/>
              <w:ind w:firstLineChars="0" w:firstLine="0"/>
              <w:jc w:val="center"/>
              <w:rPr>
                <w:rFonts w:cs="Times New Roman"/>
                <w:color w:val="auto"/>
                <w:sz w:val="21"/>
                <w:szCs w:val="21"/>
              </w:rPr>
            </w:pPr>
            <w:r>
              <w:rPr>
                <w:rFonts w:cs="Times New Roman"/>
                <w:color w:val="auto"/>
                <w:sz w:val="21"/>
                <w:szCs w:val="21"/>
              </w:rPr>
              <w:t>12</w:t>
            </w:r>
          </w:p>
        </w:tc>
      </w:tr>
      <w:tr w:rsidR="008F4934" w:rsidTr="00893027">
        <w:trPr>
          <w:trHeight w:val="64"/>
          <w:jc w:val="center"/>
        </w:trPr>
        <w:tc>
          <w:tcPr>
            <w:tcW w:w="1622" w:type="dxa"/>
            <w:vAlign w:val="center"/>
          </w:tcPr>
          <w:p w:rsidR="008F4934" w:rsidRDefault="0028658E" w:rsidP="00893027">
            <w:pPr>
              <w:spacing w:line="240" w:lineRule="auto"/>
              <w:ind w:firstLineChars="0" w:firstLine="0"/>
              <w:jc w:val="center"/>
              <w:rPr>
                <w:rFonts w:cs="Times New Roman"/>
                <w:color w:val="auto"/>
                <w:sz w:val="21"/>
                <w:szCs w:val="21"/>
              </w:rPr>
            </w:pPr>
            <w:r>
              <w:rPr>
                <w:rFonts w:cs="Times New Roman"/>
                <w:color w:val="auto"/>
                <w:sz w:val="21"/>
                <w:szCs w:val="21"/>
              </w:rPr>
              <w:t>2</w:t>
            </w:r>
          </w:p>
        </w:tc>
        <w:tc>
          <w:tcPr>
            <w:tcW w:w="2978" w:type="dxa"/>
            <w:vAlign w:val="center"/>
          </w:tcPr>
          <w:p w:rsidR="008F4934" w:rsidRDefault="008F4934" w:rsidP="00893027">
            <w:pPr>
              <w:spacing w:line="240" w:lineRule="auto"/>
              <w:ind w:firstLineChars="0" w:firstLine="0"/>
              <w:jc w:val="center"/>
              <w:rPr>
                <w:rFonts w:cs="Times New Roman"/>
                <w:color w:val="auto"/>
                <w:sz w:val="21"/>
                <w:szCs w:val="21"/>
              </w:rPr>
            </w:pPr>
            <w:r>
              <w:rPr>
                <w:rFonts w:cs="Times New Roman" w:hint="eastAsia"/>
                <w:color w:val="auto"/>
                <w:sz w:val="21"/>
                <w:szCs w:val="21"/>
              </w:rPr>
              <w:t>区域固体废物治理</w:t>
            </w:r>
          </w:p>
        </w:tc>
        <w:tc>
          <w:tcPr>
            <w:tcW w:w="2414" w:type="dxa"/>
            <w:vAlign w:val="center"/>
          </w:tcPr>
          <w:p w:rsidR="008F4934" w:rsidRDefault="008F4934" w:rsidP="00893027">
            <w:pPr>
              <w:spacing w:line="240" w:lineRule="auto"/>
              <w:ind w:firstLineChars="0" w:firstLine="0"/>
              <w:jc w:val="center"/>
              <w:rPr>
                <w:rFonts w:cs="Times New Roman"/>
                <w:color w:val="auto"/>
                <w:sz w:val="21"/>
                <w:szCs w:val="21"/>
              </w:rPr>
            </w:pPr>
            <w:r>
              <w:rPr>
                <w:rFonts w:cs="Times New Roman"/>
                <w:color w:val="auto"/>
                <w:sz w:val="21"/>
                <w:szCs w:val="21"/>
              </w:rPr>
              <w:t>3</w:t>
            </w:r>
          </w:p>
        </w:tc>
      </w:tr>
      <w:tr w:rsidR="004E0C2D" w:rsidTr="00893027">
        <w:trPr>
          <w:trHeight w:val="64"/>
          <w:jc w:val="center"/>
        </w:trPr>
        <w:tc>
          <w:tcPr>
            <w:tcW w:w="4600" w:type="dxa"/>
            <w:gridSpan w:val="2"/>
            <w:vAlign w:val="center"/>
          </w:tcPr>
          <w:p w:rsidR="004E0C2D" w:rsidRDefault="004E0C2D" w:rsidP="00893027">
            <w:pPr>
              <w:spacing w:line="240" w:lineRule="auto"/>
              <w:ind w:firstLineChars="0" w:firstLine="0"/>
              <w:jc w:val="center"/>
              <w:rPr>
                <w:rFonts w:cs="Times New Roman"/>
                <w:color w:val="auto"/>
                <w:sz w:val="21"/>
                <w:szCs w:val="21"/>
              </w:rPr>
            </w:pPr>
            <w:r>
              <w:rPr>
                <w:rFonts w:cs="Times New Roman" w:hint="eastAsia"/>
                <w:color w:val="auto"/>
                <w:sz w:val="21"/>
                <w:szCs w:val="21"/>
              </w:rPr>
              <w:t>合计</w:t>
            </w:r>
          </w:p>
        </w:tc>
        <w:tc>
          <w:tcPr>
            <w:tcW w:w="2414" w:type="dxa"/>
            <w:vAlign w:val="center"/>
          </w:tcPr>
          <w:p w:rsidR="004E0C2D" w:rsidRDefault="004E0C2D" w:rsidP="00893027">
            <w:pPr>
              <w:spacing w:line="240" w:lineRule="auto"/>
              <w:ind w:firstLineChars="0" w:firstLine="0"/>
              <w:jc w:val="center"/>
              <w:rPr>
                <w:rFonts w:cs="Times New Roman"/>
                <w:color w:val="auto"/>
                <w:sz w:val="21"/>
                <w:szCs w:val="21"/>
              </w:rPr>
            </w:pPr>
            <w:r>
              <w:rPr>
                <w:rFonts w:cs="Times New Roman"/>
                <w:color w:val="auto"/>
                <w:sz w:val="21"/>
                <w:szCs w:val="21"/>
              </w:rPr>
              <w:t>15</w:t>
            </w:r>
          </w:p>
        </w:tc>
      </w:tr>
    </w:tbl>
    <w:p w:rsidR="001869BC" w:rsidRDefault="001869BC">
      <w:pPr>
        <w:spacing w:line="240" w:lineRule="auto"/>
        <w:ind w:firstLineChars="0" w:firstLine="0"/>
      </w:pPr>
      <w:r>
        <w:br w:type="page"/>
      </w:r>
    </w:p>
    <w:p w:rsidR="003E2173" w:rsidRDefault="00AD2FA4">
      <w:pPr>
        <w:pStyle w:val="1"/>
      </w:pPr>
      <w:bookmarkStart w:id="18" w:name="_Toc523513196"/>
      <w:r>
        <w:rPr>
          <w:rFonts w:hint="eastAsia"/>
        </w:rPr>
        <w:lastRenderedPageBreak/>
        <w:t>8</w:t>
      </w:r>
      <w:r>
        <w:rPr>
          <w:rFonts w:hint="eastAsia"/>
        </w:rPr>
        <w:t>、</w:t>
      </w:r>
      <w:r w:rsidR="004B0ECA">
        <w:rPr>
          <w:rFonts w:hint="eastAsia"/>
        </w:rPr>
        <w:t>验收监测结论及</w:t>
      </w:r>
      <w:r w:rsidR="00B72128">
        <w:rPr>
          <w:rFonts w:hint="eastAsia"/>
        </w:rPr>
        <w:t>下一步</w:t>
      </w:r>
      <w:r w:rsidR="00B72128">
        <w:t>措施</w:t>
      </w:r>
      <w:bookmarkEnd w:id="18"/>
    </w:p>
    <w:p w:rsidR="003E2173" w:rsidRDefault="00AD2FA4">
      <w:pPr>
        <w:pStyle w:val="2"/>
      </w:pPr>
      <w:r>
        <w:rPr>
          <w:rFonts w:hint="eastAsia"/>
        </w:rPr>
        <w:t>8</w:t>
      </w:r>
      <w:r w:rsidR="004B0ECA">
        <w:rPr>
          <w:rFonts w:hint="eastAsia"/>
        </w:rPr>
        <w:t>.1</w:t>
      </w:r>
      <w:r w:rsidR="004B0ECA">
        <w:rPr>
          <w:rFonts w:hint="eastAsia"/>
        </w:rPr>
        <w:t>工程概况</w:t>
      </w:r>
    </w:p>
    <w:p w:rsidR="003E2173" w:rsidRDefault="004B0ECA">
      <w:pPr>
        <w:ind w:firstLine="480"/>
      </w:pPr>
      <w:r>
        <w:rPr>
          <w:rFonts w:hint="eastAsia"/>
        </w:rPr>
        <w:t>本次验收项目</w:t>
      </w:r>
      <w:r>
        <w:t>位于</w:t>
      </w:r>
      <w:r>
        <w:rPr>
          <w:rFonts w:hint="eastAsia"/>
          <w:color w:val="171717" w:themeColor="background2" w:themeShade="1A"/>
          <w:szCs w:val="24"/>
        </w:rPr>
        <w:t>东丽区，项目四至：东至二经路</w:t>
      </w:r>
      <w:r>
        <w:rPr>
          <w:color w:val="171717" w:themeColor="background2" w:themeShade="1A"/>
          <w:szCs w:val="24"/>
        </w:rPr>
        <w:t>，西至</w:t>
      </w:r>
      <w:r>
        <w:rPr>
          <w:rFonts w:hint="eastAsia"/>
          <w:color w:val="171717" w:themeColor="background2" w:themeShade="1A"/>
          <w:szCs w:val="24"/>
        </w:rPr>
        <w:t>驯海路</w:t>
      </w:r>
      <w:r>
        <w:rPr>
          <w:color w:val="171717" w:themeColor="background2" w:themeShade="1A"/>
          <w:szCs w:val="24"/>
        </w:rPr>
        <w:t>，南至</w:t>
      </w:r>
      <w:r>
        <w:rPr>
          <w:rFonts w:hint="eastAsia"/>
          <w:color w:val="171717" w:themeColor="background2" w:themeShade="1A"/>
          <w:szCs w:val="24"/>
        </w:rPr>
        <w:t>津塘路</w:t>
      </w:r>
      <w:r>
        <w:rPr>
          <w:color w:val="171717" w:themeColor="background2" w:themeShade="1A"/>
          <w:szCs w:val="24"/>
        </w:rPr>
        <w:t>，</w:t>
      </w:r>
      <w:r w:rsidRPr="008F4934">
        <w:rPr>
          <w:color w:val="auto"/>
          <w:szCs w:val="24"/>
        </w:rPr>
        <w:t>北至</w:t>
      </w:r>
      <w:r w:rsidRPr="008F4934">
        <w:rPr>
          <w:rFonts w:hint="eastAsia"/>
          <w:color w:val="auto"/>
          <w:szCs w:val="24"/>
        </w:rPr>
        <w:t>京山铁路</w:t>
      </w:r>
      <w:r w:rsidRPr="008F4934">
        <w:rPr>
          <w:rFonts w:hint="eastAsia"/>
          <w:color w:val="auto"/>
          <w:szCs w:val="24"/>
        </w:rPr>
        <w:t>(</w:t>
      </w:r>
      <w:r w:rsidR="00893027">
        <w:rPr>
          <w:color w:val="auto"/>
          <w:szCs w:val="24"/>
        </w:rPr>
        <w:t>550</w:t>
      </w:r>
      <w:r w:rsidR="00893027" w:rsidRPr="008F4934">
        <w:rPr>
          <w:color w:val="auto"/>
          <w:szCs w:val="24"/>
        </w:rPr>
        <w:t>m</w:t>
      </w:r>
      <w:r w:rsidRPr="008F4934">
        <w:rPr>
          <w:rFonts w:hint="eastAsia"/>
          <w:color w:val="auto"/>
          <w:szCs w:val="24"/>
        </w:rPr>
        <w:t>内</w:t>
      </w:r>
      <w:r w:rsidRPr="008F4934">
        <w:rPr>
          <w:color w:val="auto"/>
          <w:szCs w:val="24"/>
        </w:rPr>
        <w:t>为空地</w:t>
      </w:r>
      <w:r w:rsidRPr="008F4934">
        <w:rPr>
          <w:rFonts w:hint="eastAsia"/>
          <w:color w:val="auto"/>
          <w:szCs w:val="24"/>
        </w:rPr>
        <w:t>)</w:t>
      </w:r>
      <w:r w:rsidRPr="008F4934">
        <w:rPr>
          <w:color w:val="auto"/>
          <w:szCs w:val="24"/>
        </w:rPr>
        <w:t>。</w:t>
      </w:r>
      <w:r>
        <w:t>本项目总占地面积</w:t>
      </w:r>
      <w:r>
        <w:t>25070m</w:t>
      </w:r>
      <w:r>
        <w:rPr>
          <w:vertAlign w:val="superscript"/>
        </w:rPr>
        <w:t>2</w:t>
      </w:r>
      <w:r>
        <w:t>，总建筑面积</w:t>
      </w:r>
      <w:r>
        <w:t>35885m</w:t>
      </w:r>
      <w:r>
        <w:rPr>
          <w:vertAlign w:val="superscript"/>
        </w:rPr>
        <w:t>2</w:t>
      </w:r>
      <w:r>
        <w:t>，其中地上建筑面积</w:t>
      </w:r>
      <w:r>
        <w:t>34650m</w:t>
      </w:r>
      <w:r>
        <w:rPr>
          <w:vertAlign w:val="superscript"/>
        </w:rPr>
        <w:t>2</w:t>
      </w:r>
      <w:r>
        <w:t>，配套地下建筑面积</w:t>
      </w:r>
      <w:r>
        <w:t>1535 m</w:t>
      </w:r>
      <w:r>
        <w:rPr>
          <w:vertAlign w:val="superscript"/>
        </w:rPr>
        <w:t>2</w:t>
      </w:r>
      <w:r>
        <w:t>；住宅建筑面积</w:t>
      </w:r>
      <w:r>
        <w:t>34310m</w:t>
      </w:r>
      <w:r>
        <w:rPr>
          <w:vertAlign w:val="superscript"/>
        </w:rPr>
        <w:t>2</w:t>
      </w:r>
      <w:r>
        <w:t>，建设居民楼</w:t>
      </w:r>
      <w:r>
        <w:t>8</w:t>
      </w:r>
      <w:r>
        <w:t>栋</w:t>
      </w:r>
      <w:r>
        <w:rPr>
          <w:rFonts w:hint="eastAsia"/>
        </w:rPr>
        <w:t>：</w:t>
      </w:r>
      <w:r>
        <w:t>1</w:t>
      </w:r>
      <w:r>
        <w:t>栋</w:t>
      </w:r>
      <w:r>
        <w:t>11</w:t>
      </w:r>
      <w:r>
        <w:t>层住宅楼（</w:t>
      </w:r>
      <w:r>
        <w:t>1#</w:t>
      </w:r>
      <w:r>
        <w:t>）</w:t>
      </w:r>
      <w:r>
        <w:rPr>
          <w:rFonts w:hint="eastAsia"/>
        </w:rPr>
        <w:t>、</w:t>
      </w:r>
      <w:r>
        <w:t>1</w:t>
      </w:r>
      <w:r>
        <w:t>栋</w:t>
      </w:r>
      <w:r>
        <w:t>10</w:t>
      </w:r>
      <w:r>
        <w:t>层住宅楼（</w:t>
      </w:r>
      <w:r>
        <w:t>2#</w:t>
      </w:r>
      <w:r>
        <w:t>）、</w:t>
      </w:r>
      <w:r>
        <w:t>3</w:t>
      </w:r>
      <w:r>
        <w:t>栋</w:t>
      </w:r>
      <w:r>
        <w:t>7</w:t>
      </w:r>
      <w:r>
        <w:t>层住宅楼（</w:t>
      </w:r>
      <w:r>
        <w:t>3#~5#</w:t>
      </w:r>
      <w:r>
        <w:t>）、</w:t>
      </w:r>
      <w:r>
        <w:t>3</w:t>
      </w:r>
      <w:r>
        <w:t>栋</w:t>
      </w:r>
      <w:r>
        <w:t>14</w:t>
      </w:r>
      <w:r>
        <w:t>层住宅楼（</w:t>
      </w:r>
      <w:r>
        <w:t>6#~8#</w:t>
      </w:r>
      <w:r>
        <w:t>）及</w:t>
      </w:r>
      <w:r>
        <w:t>1</w:t>
      </w:r>
      <w:r>
        <w:t>座</w:t>
      </w:r>
      <w:r>
        <w:t>3</w:t>
      </w:r>
      <w:r>
        <w:t>层配套公建，建筑面积</w:t>
      </w:r>
      <w:r>
        <w:t>340 m</w:t>
      </w:r>
      <w:r>
        <w:rPr>
          <w:vertAlign w:val="superscript"/>
        </w:rPr>
        <w:t>2</w:t>
      </w:r>
      <w:r>
        <w:t>。查阅该公司提供的相关资料，确定本项目建筑规模、地点、性质、生态建设等相关建筑信息和环评一致</w:t>
      </w:r>
      <w:r>
        <w:rPr>
          <w:rFonts w:hint="eastAsia"/>
        </w:rPr>
        <w:t>，</w:t>
      </w:r>
      <w:r>
        <w:t>不存在</w:t>
      </w:r>
      <w:r>
        <w:rPr>
          <w:rFonts w:hint="eastAsia"/>
        </w:rPr>
        <w:t>重大变更</w:t>
      </w:r>
      <w:r>
        <w:t>。</w:t>
      </w:r>
    </w:p>
    <w:p w:rsidR="003E2173" w:rsidRDefault="00AD2FA4">
      <w:pPr>
        <w:pStyle w:val="2"/>
      </w:pPr>
      <w:r>
        <w:rPr>
          <w:rFonts w:hint="eastAsia"/>
        </w:rPr>
        <w:t>8</w:t>
      </w:r>
      <w:r w:rsidR="004B0ECA">
        <w:rPr>
          <w:rFonts w:hint="eastAsia"/>
        </w:rPr>
        <w:t>.2</w:t>
      </w:r>
      <w:r w:rsidR="004B0ECA">
        <w:rPr>
          <w:rFonts w:hint="eastAsia"/>
        </w:rPr>
        <w:t>污染物防治设施落实及运行效果情况</w:t>
      </w:r>
    </w:p>
    <w:p w:rsidR="003E2173" w:rsidRDefault="004B0ECA">
      <w:pPr>
        <w:ind w:firstLine="480"/>
      </w:pPr>
      <w:r>
        <w:rPr>
          <w:rFonts w:hint="eastAsia"/>
        </w:rPr>
        <w:t>本阶段运营期产生的固体废物主要为居民日常生活产生的生活垃圾，各类生活垃圾均分类收集，暂存合理，由物业保洁人员定时收集后再由市容环卫部门及时清运，不会对环境产生二次污染。</w:t>
      </w:r>
    </w:p>
    <w:p w:rsidR="003E2173" w:rsidRDefault="00AD2FA4">
      <w:pPr>
        <w:pStyle w:val="2"/>
      </w:pPr>
      <w:r>
        <w:rPr>
          <w:rFonts w:hint="eastAsia"/>
        </w:rPr>
        <w:t>8</w:t>
      </w:r>
      <w:r w:rsidR="004B0ECA">
        <w:rPr>
          <w:rFonts w:hint="eastAsia"/>
        </w:rPr>
        <w:t>.3</w:t>
      </w:r>
      <w:r w:rsidR="004B0ECA">
        <w:rPr>
          <w:rFonts w:hint="eastAsia"/>
        </w:rPr>
        <w:t>验收结论</w:t>
      </w:r>
    </w:p>
    <w:p w:rsidR="003E2173" w:rsidRDefault="004B0ECA">
      <w:pPr>
        <w:ind w:firstLine="480"/>
      </w:pPr>
      <w:r>
        <w:rPr>
          <w:rFonts w:hint="eastAsia"/>
        </w:rPr>
        <w:t>综上所述，本阶段实际建设与环评内容性质、规模、地点、污染物排放及防治措施等均一致。本阶段施工期、使用期固体废物在采取了污染治理和控制措施后，不会对</w:t>
      </w:r>
      <w:r w:rsidR="00B72128">
        <w:rPr>
          <w:rFonts w:hint="eastAsia"/>
        </w:rPr>
        <w:t>周围环境</w:t>
      </w:r>
      <w:r>
        <w:rPr>
          <w:rFonts w:hint="eastAsia"/>
        </w:rPr>
        <w:t>产生明显影响。目前为止，本项目未发生过扰民纠纷。本阶段内容基本符合验收条件。</w:t>
      </w:r>
    </w:p>
    <w:p w:rsidR="003E2173" w:rsidRDefault="00AD2FA4">
      <w:pPr>
        <w:pStyle w:val="2"/>
      </w:pPr>
      <w:r>
        <w:rPr>
          <w:rFonts w:hint="eastAsia"/>
        </w:rPr>
        <w:t>8</w:t>
      </w:r>
      <w:r w:rsidR="004B0ECA">
        <w:rPr>
          <w:rFonts w:hint="eastAsia"/>
        </w:rPr>
        <w:t>.4</w:t>
      </w:r>
      <w:r w:rsidR="00DA5C35">
        <w:rPr>
          <w:rFonts w:hint="eastAsia"/>
        </w:rPr>
        <w:t>下一步措施</w:t>
      </w:r>
    </w:p>
    <w:p w:rsidR="003E2173" w:rsidRDefault="004B0ECA">
      <w:pPr>
        <w:ind w:firstLine="480"/>
      </w:pPr>
      <w:r>
        <w:rPr>
          <w:rFonts w:hint="eastAsia"/>
        </w:rPr>
        <w:t>（</w:t>
      </w:r>
      <w:r>
        <w:rPr>
          <w:rFonts w:hint="eastAsia"/>
        </w:rPr>
        <w:t>1</w:t>
      </w:r>
      <w:r>
        <w:rPr>
          <w:rFonts w:hint="eastAsia"/>
        </w:rPr>
        <w:t>）加强环境管理及各类环保治理设施的维护，确保环保治理设施长期稳定运行，各项污染物长期稳定达标排放。</w:t>
      </w:r>
    </w:p>
    <w:p w:rsidR="003E2173" w:rsidRDefault="004B0ECA">
      <w:pPr>
        <w:ind w:firstLine="480"/>
      </w:pPr>
      <w:r>
        <w:rPr>
          <w:rFonts w:hint="eastAsia"/>
        </w:rPr>
        <w:t>（</w:t>
      </w:r>
      <w:r>
        <w:rPr>
          <w:rFonts w:hint="eastAsia"/>
        </w:rPr>
        <w:t>2</w:t>
      </w:r>
      <w:r>
        <w:rPr>
          <w:rFonts w:hint="eastAsia"/>
        </w:rPr>
        <w:t>）加强对固体废物的管理：合理堆存，及时处置。小区物业部门应对各类废物的存放、中转运输等进行全过程监控管理。</w:t>
      </w:r>
    </w:p>
    <w:p w:rsidR="003E2173" w:rsidRDefault="004B0ECA">
      <w:pPr>
        <w:ind w:firstLine="480"/>
      </w:pPr>
      <w:r>
        <w:rPr>
          <w:rFonts w:hint="eastAsia"/>
        </w:rPr>
        <w:t>（</w:t>
      </w:r>
      <w:r>
        <w:rPr>
          <w:rFonts w:hint="eastAsia"/>
        </w:rPr>
        <w:t>3</w:t>
      </w:r>
      <w:r>
        <w:rPr>
          <w:rFonts w:hint="eastAsia"/>
        </w:rPr>
        <w:t>）定期对装载车辆和收集点进行消毒等，防止蚊子、苍蝇孳生，同时搞好卫生工作。</w:t>
      </w:r>
    </w:p>
    <w:p w:rsidR="003E2173" w:rsidRDefault="003E2173">
      <w:pPr>
        <w:pStyle w:val="a0"/>
        <w:spacing w:before="163"/>
        <w:ind w:firstLineChars="0" w:firstLine="0"/>
      </w:pPr>
    </w:p>
    <w:sectPr w:rsidR="003E2173" w:rsidSect="003E2173">
      <w:footerReference w:type="default" r:id="rId15"/>
      <w:pgSz w:w="11906" w:h="16838"/>
      <w:pgMar w:top="1440" w:right="1800" w:bottom="1440" w:left="1800" w:header="851" w:footer="992"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2FB" w:rsidRDefault="00F152FB" w:rsidP="00301D3D">
      <w:pPr>
        <w:spacing w:line="240" w:lineRule="auto"/>
        <w:ind w:firstLine="480"/>
      </w:pPr>
      <w:r>
        <w:separator/>
      </w:r>
    </w:p>
  </w:endnote>
  <w:endnote w:type="continuationSeparator" w:id="0">
    <w:p w:rsidR="00F152FB" w:rsidRDefault="00F152FB" w:rsidP="00301D3D">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82" w:rsidRDefault="00E47282">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82" w:rsidRDefault="00E47282">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82" w:rsidRDefault="00E47282">
    <w:pPr>
      <w:pStyle w:val="a8"/>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9304321"/>
      <w:docPartObj>
        <w:docPartGallery w:val="Page Numbers (Bottom of Page)"/>
        <w:docPartUnique/>
      </w:docPartObj>
    </w:sdtPr>
    <w:sdtContent>
      <w:p w:rsidR="003C1C74" w:rsidRDefault="00E65839">
        <w:pPr>
          <w:pStyle w:val="a8"/>
          <w:ind w:firstLine="360"/>
          <w:jc w:val="center"/>
        </w:pPr>
        <w:r>
          <w:fldChar w:fldCharType="begin"/>
        </w:r>
        <w:r w:rsidR="003C1C74">
          <w:instrText>PAGE   \* MERGEFORMAT</w:instrText>
        </w:r>
        <w:r>
          <w:fldChar w:fldCharType="separate"/>
        </w:r>
        <w:r w:rsidR="006356AB" w:rsidRPr="006356AB">
          <w:rPr>
            <w:noProof/>
            <w:lang w:val="zh-CN"/>
          </w:rPr>
          <w:t>1</w:t>
        </w:r>
        <w:r>
          <w:fldChar w:fldCharType="end"/>
        </w:r>
      </w:p>
    </w:sdtContent>
  </w:sdt>
  <w:p w:rsidR="00166053" w:rsidRDefault="00166053" w:rsidP="0083555F">
    <w:pPr>
      <w:pStyle w:val="a8"/>
      <w:ind w:firstLine="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2FB" w:rsidRDefault="00F152FB" w:rsidP="00301D3D">
      <w:pPr>
        <w:spacing w:line="240" w:lineRule="auto"/>
        <w:ind w:firstLine="480"/>
      </w:pPr>
      <w:r>
        <w:separator/>
      </w:r>
    </w:p>
  </w:footnote>
  <w:footnote w:type="continuationSeparator" w:id="0">
    <w:p w:rsidR="00F152FB" w:rsidRDefault="00F152FB" w:rsidP="00301D3D">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82" w:rsidRDefault="00E47282">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82" w:rsidRPr="00A11E20" w:rsidRDefault="00E47282" w:rsidP="00E47282">
    <w:pPr>
      <w:pStyle w:val="a9"/>
      <w:pBdr>
        <w:bottom w:val="none" w:sz="0" w:space="0" w:color="auto"/>
      </w:pBdr>
      <w:ind w:firstLine="360"/>
      <w:jc w:val="right"/>
      <w:rPr>
        <w:rFonts w:ascii="楷体" w:eastAsia="楷体" w:hAnsi="楷体"/>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82" w:rsidRDefault="00E47282">
    <w:pPr>
      <w:pStyle w:val="a9"/>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82" w:rsidRPr="00A11E20" w:rsidRDefault="00E47282" w:rsidP="00E47282">
    <w:pPr>
      <w:pStyle w:val="a9"/>
      <w:pBdr>
        <w:bottom w:val="single" w:sz="4" w:space="1" w:color="auto"/>
      </w:pBdr>
      <w:ind w:firstLine="360"/>
      <w:jc w:val="right"/>
      <w:rPr>
        <w:rFonts w:ascii="楷体" w:eastAsia="楷体" w:hAnsi="楷体"/>
      </w:rPr>
    </w:pPr>
    <w:r w:rsidRPr="00E47282">
      <w:rPr>
        <w:rFonts w:ascii="楷体" w:eastAsia="楷体" w:hAnsi="楷体" w:hint="eastAsia"/>
      </w:rPr>
      <w:t>天津君恒投资有限公司东丽建材D地块项目变更固体废物污染防治设施竣工环境保护验收监测报告</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trackRevisions/>
  <w:defaultTabStop w:val="420"/>
  <w:drawingGridHorizontalSpacing w:val="120"/>
  <w:drawingGridVerticalSpacing w:val="163"/>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27B4"/>
    <w:rsid w:val="000041B1"/>
    <w:rsid w:val="0001066E"/>
    <w:rsid w:val="00013412"/>
    <w:rsid w:val="0003477F"/>
    <w:rsid w:val="00036C19"/>
    <w:rsid w:val="00040656"/>
    <w:rsid w:val="000655D5"/>
    <w:rsid w:val="000679AE"/>
    <w:rsid w:val="000C0385"/>
    <w:rsid w:val="000F0558"/>
    <w:rsid w:val="00101EC5"/>
    <w:rsid w:val="00124D8B"/>
    <w:rsid w:val="00144F5C"/>
    <w:rsid w:val="00154DE7"/>
    <w:rsid w:val="00166053"/>
    <w:rsid w:val="00170835"/>
    <w:rsid w:val="00186079"/>
    <w:rsid w:val="001869BC"/>
    <w:rsid w:val="001A7742"/>
    <w:rsid w:val="00226F54"/>
    <w:rsid w:val="00233590"/>
    <w:rsid w:val="0027312F"/>
    <w:rsid w:val="0028217F"/>
    <w:rsid w:val="0028658E"/>
    <w:rsid w:val="002A75F5"/>
    <w:rsid w:val="002C4944"/>
    <w:rsid w:val="002D0CB8"/>
    <w:rsid w:val="00301D3D"/>
    <w:rsid w:val="003365DB"/>
    <w:rsid w:val="00342598"/>
    <w:rsid w:val="00353839"/>
    <w:rsid w:val="003B52AE"/>
    <w:rsid w:val="003C1C74"/>
    <w:rsid w:val="003E2173"/>
    <w:rsid w:val="00405861"/>
    <w:rsid w:val="00417F88"/>
    <w:rsid w:val="00465746"/>
    <w:rsid w:val="00481633"/>
    <w:rsid w:val="004B0E67"/>
    <w:rsid w:val="004B0ECA"/>
    <w:rsid w:val="004C69E0"/>
    <w:rsid w:val="004E0C2D"/>
    <w:rsid w:val="004E12D3"/>
    <w:rsid w:val="00511D8B"/>
    <w:rsid w:val="00560AFC"/>
    <w:rsid w:val="00593A4D"/>
    <w:rsid w:val="005B63F1"/>
    <w:rsid w:val="005B68FA"/>
    <w:rsid w:val="005C6DFD"/>
    <w:rsid w:val="006045D1"/>
    <w:rsid w:val="00610CF8"/>
    <w:rsid w:val="006249E6"/>
    <w:rsid w:val="00630E7E"/>
    <w:rsid w:val="00631872"/>
    <w:rsid w:val="006356AB"/>
    <w:rsid w:val="0063737E"/>
    <w:rsid w:val="0065468F"/>
    <w:rsid w:val="00673909"/>
    <w:rsid w:val="006A0A34"/>
    <w:rsid w:val="006A5C62"/>
    <w:rsid w:val="006C2AD0"/>
    <w:rsid w:val="006E018A"/>
    <w:rsid w:val="0070475B"/>
    <w:rsid w:val="00704B54"/>
    <w:rsid w:val="00773409"/>
    <w:rsid w:val="007761A3"/>
    <w:rsid w:val="00801E30"/>
    <w:rsid w:val="008110F0"/>
    <w:rsid w:val="00815A42"/>
    <w:rsid w:val="0083555F"/>
    <w:rsid w:val="00840D77"/>
    <w:rsid w:val="00893027"/>
    <w:rsid w:val="008A6A9D"/>
    <w:rsid w:val="008C2830"/>
    <w:rsid w:val="008D729A"/>
    <w:rsid w:val="008F3903"/>
    <w:rsid w:val="008F4934"/>
    <w:rsid w:val="008F663A"/>
    <w:rsid w:val="0095046B"/>
    <w:rsid w:val="00994853"/>
    <w:rsid w:val="009B74F9"/>
    <w:rsid w:val="009D054B"/>
    <w:rsid w:val="009E27B4"/>
    <w:rsid w:val="00A11E20"/>
    <w:rsid w:val="00A33B4E"/>
    <w:rsid w:val="00A52C11"/>
    <w:rsid w:val="00A75DD4"/>
    <w:rsid w:val="00A973DC"/>
    <w:rsid w:val="00AA6C69"/>
    <w:rsid w:val="00AC3F1E"/>
    <w:rsid w:val="00AD2FA4"/>
    <w:rsid w:val="00AE1110"/>
    <w:rsid w:val="00B202D2"/>
    <w:rsid w:val="00B269DA"/>
    <w:rsid w:val="00B720BD"/>
    <w:rsid w:val="00B72128"/>
    <w:rsid w:val="00B74B53"/>
    <w:rsid w:val="00B75AC2"/>
    <w:rsid w:val="00BD43E6"/>
    <w:rsid w:val="00C1140F"/>
    <w:rsid w:val="00C13EC2"/>
    <w:rsid w:val="00C27186"/>
    <w:rsid w:val="00C43493"/>
    <w:rsid w:val="00C50AC9"/>
    <w:rsid w:val="00C55527"/>
    <w:rsid w:val="00C733AE"/>
    <w:rsid w:val="00C756BB"/>
    <w:rsid w:val="00C80854"/>
    <w:rsid w:val="00C90483"/>
    <w:rsid w:val="00C97215"/>
    <w:rsid w:val="00CC2294"/>
    <w:rsid w:val="00CE0237"/>
    <w:rsid w:val="00D16F8C"/>
    <w:rsid w:val="00D45552"/>
    <w:rsid w:val="00DA5C35"/>
    <w:rsid w:val="00DA7D78"/>
    <w:rsid w:val="00DD66D8"/>
    <w:rsid w:val="00E47282"/>
    <w:rsid w:val="00E65839"/>
    <w:rsid w:val="00EB66CB"/>
    <w:rsid w:val="00EC2C70"/>
    <w:rsid w:val="00EC6469"/>
    <w:rsid w:val="00F05963"/>
    <w:rsid w:val="00F152FB"/>
    <w:rsid w:val="00F81A75"/>
    <w:rsid w:val="00F86949"/>
    <w:rsid w:val="00FF10BC"/>
    <w:rsid w:val="600D23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semiHidden="0" w:qFormat="1"/>
    <w:lsdException w:name="annotation text" w:semiHidden="0" w:qFormat="1"/>
    <w:lsdException w:name="header" w:semiHidden="0" w:qFormat="1"/>
    <w:lsdException w:name="footer" w:semiHidden="0" w:qFormat="1"/>
    <w:lsdException w:name="caption" w:semiHidden="0" w:uiPriority="35" w:qFormat="1"/>
    <w:lsdException w:name="annotation reference" w:unhideWhenUsed="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173"/>
    <w:pPr>
      <w:spacing w:line="360" w:lineRule="auto"/>
      <w:ind w:firstLineChars="200" w:firstLine="200"/>
    </w:pPr>
    <w:rPr>
      <w:rFonts w:ascii="Times New Roman" w:eastAsia="宋体" w:hAnsi="Times New Roman" w:cs="宋体"/>
      <w:color w:val="000000"/>
      <w:kern w:val="2"/>
      <w:sz w:val="24"/>
      <w:szCs w:val="22"/>
    </w:rPr>
  </w:style>
  <w:style w:type="paragraph" w:styleId="1">
    <w:name w:val="heading 1"/>
    <w:basedOn w:val="a"/>
    <w:next w:val="a"/>
    <w:link w:val="1Char"/>
    <w:uiPriority w:val="9"/>
    <w:qFormat/>
    <w:rsid w:val="003E2173"/>
    <w:pPr>
      <w:keepNext/>
      <w:keepLines/>
      <w:ind w:firstLineChars="0" w:firstLine="0"/>
      <w:outlineLvl w:val="0"/>
    </w:pPr>
    <w:rPr>
      <w:b/>
      <w:bCs/>
      <w:kern w:val="44"/>
      <w:sz w:val="28"/>
      <w:szCs w:val="44"/>
    </w:rPr>
  </w:style>
  <w:style w:type="paragraph" w:styleId="2">
    <w:name w:val="heading 2"/>
    <w:basedOn w:val="a"/>
    <w:next w:val="a0"/>
    <w:link w:val="2Char"/>
    <w:uiPriority w:val="9"/>
    <w:unhideWhenUsed/>
    <w:qFormat/>
    <w:rsid w:val="003E2173"/>
    <w:pPr>
      <w:keepNext/>
      <w:keepLines/>
      <w:ind w:firstLineChars="0" w:firstLine="0"/>
      <w:outlineLvl w:val="1"/>
    </w:pPr>
    <w:rPr>
      <w:sz w:val="28"/>
    </w:rPr>
  </w:style>
  <w:style w:type="paragraph" w:styleId="3">
    <w:name w:val="heading 3"/>
    <w:basedOn w:val="a"/>
    <w:next w:val="a"/>
    <w:link w:val="3Char"/>
    <w:uiPriority w:val="9"/>
    <w:unhideWhenUsed/>
    <w:qFormat/>
    <w:rsid w:val="003E2173"/>
    <w:pPr>
      <w:keepNext/>
      <w:keepLines/>
      <w:ind w:firstLineChars="0" w:firstLine="0"/>
      <w:outlineLvl w:val="2"/>
    </w:pPr>
    <w:rPr>
      <w:b/>
    </w:rPr>
  </w:style>
  <w:style w:type="paragraph" w:styleId="4">
    <w:name w:val="heading 4"/>
    <w:basedOn w:val="a"/>
    <w:next w:val="a"/>
    <w:link w:val="4Char"/>
    <w:uiPriority w:val="9"/>
    <w:unhideWhenUsed/>
    <w:qFormat/>
    <w:rsid w:val="003E2173"/>
    <w:pPr>
      <w:keepNext/>
      <w:keepLines/>
      <w:spacing w:before="280" w:after="290" w:line="372" w:lineRule="auto"/>
      <w:outlineLvl w:val="3"/>
    </w:pPr>
    <w:rPr>
      <w:rFonts w:ascii="Arial" w:eastAsia="黑体" w:hAnsi="Arial"/>
      <w:b/>
      <w:sz w:val="28"/>
    </w:rPr>
  </w:style>
  <w:style w:type="paragraph" w:styleId="5">
    <w:name w:val="heading 5"/>
    <w:basedOn w:val="a"/>
    <w:next w:val="a"/>
    <w:link w:val="5Char"/>
    <w:uiPriority w:val="9"/>
    <w:unhideWhenUsed/>
    <w:qFormat/>
    <w:rsid w:val="003E2173"/>
    <w:pPr>
      <w:keepNext/>
      <w:keepLines/>
      <w:spacing w:before="280" w:after="290" w:line="372" w:lineRule="auto"/>
      <w:outlineLvl w:val="4"/>
    </w:pPr>
    <w:rPr>
      <w:b/>
      <w:sz w:val="28"/>
    </w:rPr>
  </w:style>
  <w:style w:type="paragraph" w:styleId="6">
    <w:name w:val="heading 6"/>
    <w:basedOn w:val="a"/>
    <w:next w:val="a"/>
    <w:link w:val="6Char"/>
    <w:uiPriority w:val="9"/>
    <w:unhideWhenUsed/>
    <w:qFormat/>
    <w:rsid w:val="003E2173"/>
    <w:pPr>
      <w:keepNext/>
      <w:keepLines/>
      <w:spacing w:before="240" w:after="64" w:line="317" w:lineRule="auto"/>
      <w:outlineLvl w:val="5"/>
    </w:pPr>
    <w:rPr>
      <w:rFonts w:ascii="Arial" w:eastAsia="黑体" w:hAnsi="Arial"/>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3E2173"/>
    <w:pPr>
      <w:spacing w:beforeLines="50"/>
    </w:pPr>
  </w:style>
  <w:style w:type="paragraph" w:styleId="7">
    <w:name w:val="toc 7"/>
    <w:basedOn w:val="a"/>
    <w:next w:val="a"/>
    <w:uiPriority w:val="39"/>
    <w:unhideWhenUsed/>
    <w:qFormat/>
    <w:rsid w:val="003E2173"/>
    <w:pPr>
      <w:ind w:left="1440"/>
    </w:pPr>
    <w:rPr>
      <w:rFonts w:asciiTheme="minorHAnsi" w:hAnsiTheme="minorHAnsi"/>
      <w:sz w:val="18"/>
      <w:szCs w:val="18"/>
    </w:rPr>
  </w:style>
  <w:style w:type="paragraph" w:styleId="a4">
    <w:name w:val="caption"/>
    <w:basedOn w:val="a"/>
    <w:next w:val="a"/>
    <w:uiPriority w:val="35"/>
    <w:unhideWhenUsed/>
    <w:qFormat/>
    <w:rsid w:val="003E2173"/>
    <w:rPr>
      <w:rFonts w:eastAsia="黑体" w:cs="Arial"/>
      <w:sz w:val="20"/>
      <w:szCs w:val="20"/>
    </w:rPr>
  </w:style>
  <w:style w:type="paragraph" w:styleId="a5">
    <w:name w:val="annotation text"/>
    <w:basedOn w:val="a"/>
    <w:link w:val="Char"/>
    <w:uiPriority w:val="99"/>
    <w:unhideWhenUsed/>
    <w:qFormat/>
    <w:rsid w:val="003E2173"/>
  </w:style>
  <w:style w:type="paragraph" w:styleId="50">
    <w:name w:val="toc 5"/>
    <w:basedOn w:val="a"/>
    <w:next w:val="a"/>
    <w:uiPriority w:val="39"/>
    <w:unhideWhenUsed/>
    <w:qFormat/>
    <w:rsid w:val="003E2173"/>
    <w:pPr>
      <w:ind w:left="960"/>
    </w:pPr>
    <w:rPr>
      <w:rFonts w:asciiTheme="minorHAnsi" w:hAnsiTheme="minorHAnsi"/>
      <w:sz w:val="18"/>
      <w:szCs w:val="18"/>
    </w:rPr>
  </w:style>
  <w:style w:type="paragraph" w:styleId="30">
    <w:name w:val="toc 3"/>
    <w:basedOn w:val="a"/>
    <w:next w:val="a"/>
    <w:uiPriority w:val="39"/>
    <w:unhideWhenUsed/>
    <w:qFormat/>
    <w:rsid w:val="003E2173"/>
    <w:pPr>
      <w:ind w:left="480"/>
    </w:pPr>
    <w:rPr>
      <w:rFonts w:asciiTheme="minorHAnsi" w:hAnsiTheme="minorHAnsi"/>
      <w:i/>
      <w:iCs/>
      <w:sz w:val="20"/>
      <w:szCs w:val="20"/>
    </w:rPr>
  </w:style>
  <w:style w:type="paragraph" w:styleId="8">
    <w:name w:val="toc 8"/>
    <w:basedOn w:val="a"/>
    <w:next w:val="a"/>
    <w:uiPriority w:val="39"/>
    <w:unhideWhenUsed/>
    <w:qFormat/>
    <w:rsid w:val="003E2173"/>
    <w:pPr>
      <w:ind w:left="1680"/>
    </w:pPr>
    <w:rPr>
      <w:rFonts w:asciiTheme="minorHAnsi" w:hAnsiTheme="minorHAnsi"/>
      <w:sz w:val="18"/>
      <w:szCs w:val="18"/>
    </w:rPr>
  </w:style>
  <w:style w:type="paragraph" w:styleId="a6">
    <w:name w:val="Date"/>
    <w:basedOn w:val="a"/>
    <w:next w:val="a"/>
    <w:link w:val="Char0"/>
    <w:uiPriority w:val="99"/>
    <w:semiHidden/>
    <w:unhideWhenUsed/>
    <w:qFormat/>
    <w:rsid w:val="003E2173"/>
    <w:pPr>
      <w:ind w:leftChars="2500" w:left="100"/>
    </w:pPr>
  </w:style>
  <w:style w:type="paragraph" w:styleId="a7">
    <w:name w:val="Balloon Text"/>
    <w:basedOn w:val="a"/>
    <w:link w:val="Char1"/>
    <w:uiPriority w:val="99"/>
    <w:semiHidden/>
    <w:unhideWhenUsed/>
    <w:qFormat/>
    <w:rsid w:val="003E2173"/>
    <w:pPr>
      <w:spacing w:line="240" w:lineRule="auto"/>
    </w:pPr>
    <w:rPr>
      <w:sz w:val="18"/>
      <w:szCs w:val="18"/>
    </w:rPr>
  </w:style>
  <w:style w:type="paragraph" w:styleId="a8">
    <w:name w:val="footer"/>
    <w:basedOn w:val="a"/>
    <w:link w:val="Char2"/>
    <w:uiPriority w:val="99"/>
    <w:unhideWhenUsed/>
    <w:qFormat/>
    <w:rsid w:val="003E2173"/>
    <w:pPr>
      <w:tabs>
        <w:tab w:val="center" w:pos="4153"/>
        <w:tab w:val="right" w:pos="8306"/>
      </w:tabs>
      <w:snapToGrid w:val="0"/>
    </w:pPr>
    <w:rPr>
      <w:sz w:val="18"/>
      <w:szCs w:val="18"/>
    </w:rPr>
  </w:style>
  <w:style w:type="paragraph" w:styleId="a9">
    <w:name w:val="header"/>
    <w:basedOn w:val="a"/>
    <w:link w:val="Char3"/>
    <w:uiPriority w:val="99"/>
    <w:unhideWhenUsed/>
    <w:qFormat/>
    <w:rsid w:val="003E217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3E2173"/>
    <w:pPr>
      <w:spacing w:before="120" w:after="120"/>
    </w:pPr>
    <w:rPr>
      <w:rFonts w:asciiTheme="minorHAnsi" w:hAnsiTheme="minorHAnsi"/>
      <w:b/>
      <w:bCs/>
      <w:caps/>
      <w:sz w:val="20"/>
      <w:szCs w:val="20"/>
    </w:rPr>
  </w:style>
  <w:style w:type="paragraph" w:styleId="40">
    <w:name w:val="toc 4"/>
    <w:basedOn w:val="a"/>
    <w:next w:val="a"/>
    <w:uiPriority w:val="39"/>
    <w:unhideWhenUsed/>
    <w:qFormat/>
    <w:rsid w:val="003E2173"/>
    <w:pPr>
      <w:ind w:left="720"/>
    </w:pPr>
    <w:rPr>
      <w:rFonts w:asciiTheme="minorHAnsi" w:hAnsiTheme="minorHAnsi"/>
      <w:sz w:val="18"/>
      <w:szCs w:val="18"/>
    </w:rPr>
  </w:style>
  <w:style w:type="paragraph" w:styleId="60">
    <w:name w:val="toc 6"/>
    <w:basedOn w:val="a"/>
    <w:next w:val="a"/>
    <w:uiPriority w:val="39"/>
    <w:unhideWhenUsed/>
    <w:qFormat/>
    <w:rsid w:val="003E2173"/>
    <w:pPr>
      <w:ind w:left="1200"/>
    </w:pPr>
    <w:rPr>
      <w:rFonts w:asciiTheme="minorHAnsi" w:hAnsiTheme="minorHAnsi"/>
      <w:sz w:val="18"/>
      <w:szCs w:val="18"/>
    </w:rPr>
  </w:style>
  <w:style w:type="paragraph" w:styleId="20">
    <w:name w:val="toc 2"/>
    <w:basedOn w:val="a"/>
    <w:next w:val="a"/>
    <w:uiPriority w:val="39"/>
    <w:unhideWhenUsed/>
    <w:qFormat/>
    <w:rsid w:val="003E2173"/>
    <w:pPr>
      <w:ind w:left="240"/>
    </w:pPr>
    <w:rPr>
      <w:rFonts w:asciiTheme="minorHAnsi" w:hAnsiTheme="minorHAnsi"/>
      <w:smallCaps/>
      <w:sz w:val="20"/>
      <w:szCs w:val="20"/>
    </w:rPr>
  </w:style>
  <w:style w:type="paragraph" w:styleId="9">
    <w:name w:val="toc 9"/>
    <w:basedOn w:val="a"/>
    <w:next w:val="a"/>
    <w:uiPriority w:val="39"/>
    <w:unhideWhenUsed/>
    <w:qFormat/>
    <w:rsid w:val="003E2173"/>
    <w:pPr>
      <w:ind w:left="1920"/>
    </w:pPr>
    <w:rPr>
      <w:rFonts w:asciiTheme="minorHAnsi" w:hAnsiTheme="minorHAnsi"/>
      <w:sz w:val="18"/>
      <w:szCs w:val="18"/>
    </w:rPr>
  </w:style>
  <w:style w:type="character" w:styleId="aa">
    <w:name w:val="Hyperlink"/>
    <w:basedOn w:val="a1"/>
    <w:uiPriority w:val="99"/>
    <w:unhideWhenUsed/>
    <w:qFormat/>
    <w:rsid w:val="003E2173"/>
    <w:rPr>
      <w:color w:val="0563C1" w:themeColor="hyperlink"/>
      <w:u w:val="single"/>
    </w:rPr>
  </w:style>
  <w:style w:type="character" w:styleId="ab">
    <w:name w:val="annotation reference"/>
    <w:uiPriority w:val="99"/>
    <w:semiHidden/>
    <w:qFormat/>
    <w:rsid w:val="003E2173"/>
    <w:rPr>
      <w:rFonts w:cs="Times New Roman"/>
      <w:sz w:val="21"/>
      <w:szCs w:val="21"/>
    </w:rPr>
  </w:style>
  <w:style w:type="table" w:styleId="ac">
    <w:name w:val="Table Grid"/>
    <w:basedOn w:val="a2"/>
    <w:uiPriority w:val="39"/>
    <w:qFormat/>
    <w:rsid w:val="003E2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眉 Char"/>
    <w:basedOn w:val="a1"/>
    <w:link w:val="a9"/>
    <w:uiPriority w:val="99"/>
    <w:qFormat/>
    <w:rsid w:val="003E2173"/>
    <w:rPr>
      <w:sz w:val="18"/>
      <w:szCs w:val="18"/>
    </w:rPr>
  </w:style>
  <w:style w:type="character" w:customStyle="1" w:styleId="Char2">
    <w:name w:val="页脚 Char"/>
    <w:basedOn w:val="a1"/>
    <w:link w:val="a8"/>
    <w:uiPriority w:val="99"/>
    <w:qFormat/>
    <w:rsid w:val="003E2173"/>
    <w:rPr>
      <w:sz w:val="18"/>
      <w:szCs w:val="18"/>
    </w:rPr>
  </w:style>
  <w:style w:type="character" w:customStyle="1" w:styleId="1Char">
    <w:name w:val="标题 1 Char"/>
    <w:basedOn w:val="a1"/>
    <w:link w:val="1"/>
    <w:uiPriority w:val="9"/>
    <w:qFormat/>
    <w:rsid w:val="003E2173"/>
    <w:rPr>
      <w:rFonts w:ascii="Times New Roman" w:eastAsia="宋体" w:hAnsi="Times New Roman" w:cs="宋体"/>
      <w:b/>
      <w:bCs/>
      <w:color w:val="000000"/>
      <w:kern w:val="44"/>
      <w:sz w:val="28"/>
      <w:szCs w:val="44"/>
    </w:rPr>
  </w:style>
  <w:style w:type="character" w:customStyle="1" w:styleId="2Char">
    <w:name w:val="标题 2 Char"/>
    <w:basedOn w:val="a1"/>
    <w:link w:val="2"/>
    <w:uiPriority w:val="9"/>
    <w:qFormat/>
    <w:rsid w:val="003E2173"/>
    <w:rPr>
      <w:rFonts w:ascii="Times New Roman" w:eastAsia="宋体" w:hAnsi="Times New Roman" w:cs="宋体"/>
      <w:color w:val="000000"/>
      <w:sz w:val="28"/>
    </w:rPr>
  </w:style>
  <w:style w:type="character" w:customStyle="1" w:styleId="3Char">
    <w:name w:val="标题 3 Char"/>
    <w:basedOn w:val="a1"/>
    <w:link w:val="3"/>
    <w:uiPriority w:val="9"/>
    <w:qFormat/>
    <w:rsid w:val="003E2173"/>
    <w:rPr>
      <w:rFonts w:ascii="Times New Roman" w:eastAsia="宋体" w:hAnsi="Times New Roman" w:cs="宋体"/>
      <w:b/>
      <w:color w:val="000000"/>
      <w:sz w:val="24"/>
    </w:rPr>
  </w:style>
  <w:style w:type="character" w:customStyle="1" w:styleId="4Char">
    <w:name w:val="标题 4 Char"/>
    <w:basedOn w:val="a1"/>
    <w:link w:val="4"/>
    <w:uiPriority w:val="9"/>
    <w:qFormat/>
    <w:rsid w:val="003E2173"/>
    <w:rPr>
      <w:rFonts w:ascii="Arial" w:eastAsia="黑体" w:hAnsi="Arial"/>
      <w:b/>
      <w:sz w:val="28"/>
    </w:rPr>
  </w:style>
  <w:style w:type="character" w:customStyle="1" w:styleId="5Char">
    <w:name w:val="标题 5 Char"/>
    <w:basedOn w:val="a1"/>
    <w:link w:val="5"/>
    <w:uiPriority w:val="9"/>
    <w:qFormat/>
    <w:rsid w:val="003E2173"/>
    <w:rPr>
      <w:b/>
      <w:sz w:val="28"/>
    </w:rPr>
  </w:style>
  <w:style w:type="character" w:customStyle="1" w:styleId="6Char">
    <w:name w:val="标题 6 Char"/>
    <w:basedOn w:val="a1"/>
    <w:link w:val="6"/>
    <w:uiPriority w:val="9"/>
    <w:qFormat/>
    <w:rsid w:val="003E2173"/>
    <w:rPr>
      <w:rFonts w:ascii="Arial" w:eastAsia="黑体" w:hAnsi="Arial"/>
      <w:b/>
      <w:sz w:val="24"/>
    </w:rPr>
  </w:style>
  <w:style w:type="character" w:customStyle="1" w:styleId="Char">
    <w:name w:val="批注文字 Char"/>
    <w:basedOn w:val="a1"/>
    <w:link w:val="a5"/>
    <w:uiPriority w:val="99"/>
    <w:qFormat/>
    <w:rsid w:val="003E2173"/>
  </w:style>
  <w:style w:type="paragraph" w:customStyle="1" w:styleId="TOC1">
    <w:name w:val="TOC 标题1"/>
    <w:basedOn w:val="1"/>
    <w:next w:val="a"/>
    <w:uiPriority w:val="39"/>
    <w:unhideWhenUsed/>
    <w:qFormat/>
    <w:rsid w:val="003E2173"/>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WPSOffice1">
    <w:name w:val="WPSOffice手动目录 1"/>
    <w:qFormat/>
    <w:rsid w:val="003E2173"/>
  </w:style>
  <w:style w:type="paragraph" w:customStyle="1" w:styleId="WPSOffice2">
    <w:name w:val="WPSOffice手动目录 2"/>
    <w:qFormat/>
    <w:rsid w:val="003E2173"/>
    <w:pPr>
      <w:ind w:leftChars="200" w:left="200"/>
    </w:pPr>
  </w:style>
  <w:style w:type="paragraph" w:customStyle="1" w:styleId="WPSOffice3">
    <w:name w:val="WPSOffice手动目录 3"/>
    <w:qFormat/>
    <w:rsid w:val="003E2173"/>
    <w:pPr>
      <w:ind w:leftChars="400" w:left="400"/>
    </w:pPr>
  </w:style>
  <w:style w:type="paragraph" w:customStyle="1" w:styleId="41">
    <w:name w:val="样式4"/>
    <w:basedOn w:val="a0"/>
    <w:qFormat/>
    <w:rsid w:val="003E2173"/>
    <w:pPr>
      <w:spacing w:beforeLines="0" w:line="420" w:lineRule="exact"/>
      <w:ind w:firstLine="480"/>
    </w:pPr>
  </w:style>
  <w:style w:type="table" w:customStyle="1" w:styleId="11">
    <w:name w:val="网格型1"/>
    <w:basedOn w:val="a2"/>
    <w:uiPriority w:val="39"/>
    <w:qFormat/>
    <w:rsid w:val="003E2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网格型2"/>
    <w:basedOn w:val="a2"/>
    <w:uiPriority w:val="39"/>
    <w:qFormat/>
    <w:rsid w:val="003E2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日期 Char"/>
    <w:basedOn w:val="a1"/>
    <w:link w:val="a6"/>
    <w:uiPriority w:val="99"/>
    <w:semiHidden/>
    <w:qFormat/>
    <w:rsid w:val="003E2173"/>
    <w:rPr>
      <w:rFonts w:ascii="Times New Roman" w:eastAsia="宋体" w:hAnsi="Times New Roman" w:cs="宋体"/>
      <w:color w:val="000000"/>
      <w:sz w:val="24"/>
    </w:rPr>
  </w:style>
  <w:style w:type="paragraph" w:styleId="ad">
    <w:name w:val="List Paragraph"/>
    <w:basedOn w:val="a"/>
    <w:uiPriority w:val="34"/>
    <w:qFormat/>
    <w:rsid w:val="003E2173"/>
    <w:pPr>
      <w:ind w:firstLine="420"/>
    </w:pPr>
  </w:style>
  <w:style w:type="character" w:customStyle="1" w:styleId="Char1">
    <w:name w:val="批注框文本 Char"/>
    <w:basedOn w:val="a1"/>
    <w:link w:val="a7"/>
    <w:uiPriority w:val="99"/>
    <w:semiHidden/>
    <w:qFormat/>
    <w:rsid w:val="003E2173"/>
    <w:rPr>
      <w:rFonts w:ascii="Times New Roman" w:eastAsia="宋体" w:hAnsi="Times New Roman" w:cs="宋体"/>
      <w:color w:val="000000"/>
      <w:sz w:val="18"/>
      <w:szCs w:val="18"/>
    </w:rPr>
  </w:style>
  <w:style w:type="table" w:customStyle="1" w:styleId="TableGrid">
    <w:name w:val="TableGrid"/>
    <w:qFormat/>
    <w:rsid w:val="003E2173"/>
    <w:tblPr>
      <w:tblCellMar>
        <w:top w:w="0" w:type="dxa"/>
        <w:left w:w="0" w:type="dxa"/>
        <w:bottom w:w="0" w:type="dxa"/>
        <w:right w:w="0" w:type="dxa"/>
      </w:tblCellMar>
    </w:tblPr>
  </w:style>
  <w:style w:type="table" w:customStyle="1" w:styleId="31">
    <w:name w:val="网格型3"/>
    <w:basedOn w:val="a2"/>
    <w:next w:val="ac"/>
    <w:uiPriority w:val="99"/>
    <w:qFormat/>
    <w:rsid w:val="00B72128"/>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5998990">
      <w:bodyDiv w:val="1"/>
      <w:marLeft w:val="0"/>
      <w:marRight w:val="0"/>
      <w:marTop w:val="0"/>
      <w:marBottom w:val="0"/>
      <w:divBdr>
        <w:top w:val="none" w:sz="0" w:space="0" w:color="auto"/>
        <w:left w:val="none" w:sz="0" w:space="0" w:color="auto"/>
        <w:bottom w:val="none" w:sz="0" w:space="0" w:color="auto"/>
        <w:right w:val="none" w:sz="0" w:space="0" w:color="auto"/>
      </w:divBdr>
    </w:div>
    <w:div w:id="1640526172">
      <w:bodyDiv w:val="1"/>
      <w:marLeft w:val="0"/>
      <w:marRight w:val="0"/>
      <w:marTop w:val="0"/>
      <w:marBottom w:val="0"/>
      <w:divBdr>
        <w:top w:val="none" w:sz="0" w:space="0" w:color="auto"/>
        <w:left w:val="none" w:sz="0" w:space="0" w:color="auto"/>
        <w:bottom w:val="none" w:sz="0" w:space="0" w:color="auto"/>
        <w:right w:val="none" w:sz="0" w:space="0" w:color="auto"/>
      </w:divBdr>
    </w:div>
    <w:div w:id="2111966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B59E1E-E606-4815-8FE0-A3F6056B8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1100</Words>
  <Characters>6274</Characters>
  <Application>Microsoft Office Word</Application>
  <DocSecurity>0</DocSecurity>
  <Lines>52</Lines>
  <Paragraphs>14</Paragraphs>
  <ScaleCrop>false</ScaleCrop>
  <Company>Microsoft</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魏静东</cp:lastModifiedBy>
  <cp:revision>2</cp:revision>
  <cp:lastPrinted>2018-08-31T13:13:00Z</cp:lastPrinted>
  <dcterms:created xsi:type="dcterms:W3CDTF">2018-10-10T05:47:00Z</dcterms:created>
  <dcterms:modified xsi:type="dcterms:W3CDTF">2018-10-10T05:47:00Z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