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D0" w:rsidRDefault="001C78D0" w:rsidP="001C78D0">
      <w:pPr>
        <w:widowControl/>
        <w:shd w:val="clear" w:color="auto" w:fill="FFFFFF"/>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商务局政府信息公开工作年度报告</w:t>
      </w:r>
    </w:p>
    <w:p w:rsidR="001C78D0" w:rsidRDefault="001C78D0" w:rsidP="001C78D0">
      <w:pPr>
        <w:widowControl/>
        <w:shd w:val="clear" w:color="auto" w:fill="FFFFFF"/>
        <w:spacing w:line="560" w:lineRule="exact"/>
        <w:ind w:firstLineChars="200" w:firstLine="640"/>
        <w:rPr>
          <w:rFonts w:ascii="仿宋_GB2312" w:eastAsia="仿宋_GB2312" w:hAnsi="仿宋_GB2312" w:cs="仿宋_GB2312"/>
          <w:kern w:val="0"/>
          <w:sz w:val="32"/>
          <w:szCs w:val="32"/>
        </w:rPr>
      </w:pPr>
      <w:bookmarkStart w:id="0" w:name="_GoBack"/>
      <w:bookmarkEnd w:id="0"/>
    </w:p>
    <w:p w:rsidR="001C78D0" w:rsidRDefault="001C78D0" w:rsidP="001C78D0">
      <w:pPr>
        <w:widowControl/>
        <w:shd w:val="clear" w:color="auto" w:fill="FFFFFF"/>
        <w:spacing w:line="560" w:lineRule="exact"/>
        <w:ind w:firstLineChars="200" w:firstLine="640"/>
        <w:rPr>
          <w:rFonts w:ascii="黑体" w:eastAsia="黑体" w:hAnsi="宋体" w:cs="宋体"/>
          <w:kern w:val="0"/>
          <w:sz w:val="32"/>
          <w:szCs w:val="32"/>
        </w:rPr>
      </w:pPr>
      <w:r>
        <w:rPr>
          <w:rFonts w:ascii="黑体" w:eastAsia="黑体" w:hAnsi="宋体" w:cs="宋体" w:hint="eastAsia"/>
          <w:bCs/>
          <w:kern w:val="0"/>
          <w:sz w:val="32"/>
          <w:szCs w:val="32"/>
        </w:rPr>
        <w:t>一、总体情况</w:t>
      </w:r>
    </w:p>
    <w:p w:rsidR="001C78D0" w:rsidRDefault="001C78D0" w:rsidP="001C78D0">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2019年，商务局认真贯彻落实《中华人民共和国政府信息公开条例》和区委、区政府统一部署，不断健全完善政务信息公开工作制度，扎实做好政务信息公开工作，切实保障人民群众的知情权、参与权、监督权和表达权。主要开展工作如下：</w:t>
      </w:r>
    </w:p>
    <w:p w:rsidR="001C78D0" w:rsidRDefault="001C78D0" w:rsidP="001C78D0">
      <w:pPr>
        <w:widowControl/>
        <w:shd w:val="clear" w:color="auto" w:fill="FFFFFF"/>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（一）信息主动公开、依申请公开方面</w:t>
      </w:r>
    </w:p>
    <w:p w:rsidR="001C78D0" w:rsidRDefault="001C78D0" w:rsidP="001C78D0">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条例》要求，商务局认真对产生的信息进行收集，按照“公开是原则，不公开是例外”的要求，及时发布日常工作动态和工作文件，改进工作作风，方便群众办事和监督。2019年度，门户我局在区政府网站主动及时公开信息4条，制定可公开规范性文件46个，发布商务工作动态信息61篇。工作要点如下：</w:t>
      </w:r>
    </w:p>
    <w:p w:rsidR="001C78D0" w:rsidRDefault="001C78D0" w:rsidP="001C78D0">
      <w:pPr>
        <w:pStyle w:val="a4"/>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1.以政务公开助力改革举措落到实处</w:t>
      </w:r>
      <w:r>
        <w:rPr>
          <w:rFonts w:ascii="仿宋_GB2312" w:eastAsia="仿宋_GB2312" w:hAnsi="仿宋_GB2312" w:cs="仿宋_GB2312" w:hint="eastAsia"/>
          <w:b/>
          <w:bCs/>
          <w:sz w:val="32"/>
          <w:szCs w:val="32"/>
        </w:rPr>
        <w:br/>
      </w:r>
      <w:r>
        <w:rPr>
          <w:rFonts w:ascii="仿宋_GB2312" w:eastAsia="仿宋_GB2312" w:hAnsi="仿宋_GB2312" w:cs="仿宋_GB2312" w:hint="eastAsia"/>
          <w:sz w:val="32"/>
          <w:szCs w:val="32"/>
        </w:rPr>
        <w:t xml:space="preserve">    （1）及时公开政策性文件的废止、失效等情况。通过政府网站等方式告知政策性文件的废止、失效情况，及时在已发布的原文件上作出明确标注。</w:t>
      </w:r>
      <w:r>
        <w:rPr>
          <w:rFonts w:ascii="仿宋_GB2312" w:eastAsia="仿宋_GB2312" w:hAnsi="仿宋_GB2312" w:cs="仿宋_GB2312" w:hint="eastAsia"/>
          <w:sz w:val="32"/>
          <w:szCs w:val="32"/>
        </w:rPr>
        <w:br/>
        <w:t xml:space="preserve">    （2）大力推进“互联网+政务服务”。优化服务，提高效率。推进“互联网+政务服务”，加快实体政务大厅与网上服务平台融合发展，让企业和群众办事更便捷。</w:t>
      </w:r>
      <w:r>
        <w:rPr>
          <w:rFonts w:ascii="仿宋_GB2312" w:eastAsia="仿宋_GB2312" w:hAnsi="仿宋_GB2312" w:cs="仿宋_GB2312" w:hint="eastAsia"/>
          <w:sz w:val="32"/>
          <w:szCs w:val="32"/>
        </w:rPr>
        <w:br/>
        <w:t xml:space="preserve">    （3）汇总并统一公布随机抽查事项清单，明确抽查依据、</w:t>
      </w:r>
      <w:r>
        <w:rPr>
          <w:rFonts w:ascii="仿宋_GB2312" w:eastAsia="仿宋_GB2312" w:hAnsi="仿宋_GB2312" w:cs="仿宋_GB2312" w:hint="eastAsia"/>
          <w:sz w:val="32"/>
          <w:szCs w:val="32"/>
        </w:rPr>
        <w:lastRenderedPageBreak/>
        <w:t>主体、内容、方式等，及时公开抽查结果和查处情况。</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2.以政务公开助力供需结构优化升级</w:t>
      </w:r>
      <w:r>
        <w:rPr>
          <w:rFonts w:ascii="仿宋_GB2312" w:eastAsia="仿宋_GB2312" w:hAnsi="仿宋_GB2312" w:cs="仿宋_GB2312" w:hint="eastAsia"/>
          <w:sz w:val="32"/>
          <w:szCs w:val="32"/>
        </w:rPr>
        <w:br/>
        <w:t xml:space="preserve">    （1）围绕支持创业创新、推动新产业健康发展、改造提升传统产业等，加大政策及其执行情况公开力度，及时发布推广典型经验做法，调动企业和科研人员参与新旧发展动能接续转移的积极性。制定新产业、新业态、新模式等方面监管政策，通过征求意见、听证座谈、咨询协商等方式，扩大相关市场主体参与度。及时收集公众对发展新产业、培育新动能政策的反映，主动做好解疑释惑和舆情引导工作。</w:t>
      </w:r>
      <w:r>
        <w:rPr>
          <w:rFonts w:ascii="仿宋_GB2312" w:eastAsia="仿宋_GB2312" w:hAnsi="仿宋_GB2312" w:cs="仿宋_GB2312" w:hint="eastAsia"/>
          <w:sz w:val="32"/>
          <w:szCs w:val="32"/>
        </w:rPr>
        <w:br/>
        <w:t xml:space="preserve">    （2）定期发布消费市场运行情况分析</w:t>
      </w:r>
      <w:hyperlink r:id="rId6" w:tgtFrame="_blank" w:history="1">
        <w:r>
          <w:rPr>
            <w:rStyle w:val="a5"/>
            <w:rFonts w:ascii="仿宋_GB2312" w:eastAsia="仿宋_GB2312" w:hAnsi="仿宋_GB2312" w:cs="仿宋_GB2312" w:hint="eastAsia"/>
            <w:color w:val="auto"/>
            <w:sz w:val="32"/>
            <w:szCs w:val="32"/>
            <w:u w:val="none"/>
          </w:rPr>
          <w:t>报告</w:t>
        </w:r>
      </w:hyperlink>
      <w:r>
        <w:rPr>
          <w:rFonts w:ascii="仿宋_GB2312" w:eastAsia="仿宋_GB2312" w:hAnsi="仿宋_GB2312" w:cs="仿宋_GB2312" w:hint="eastAsia"/>
          <w:sz w:val="32"/>
          <w:szCs w:val="32"/>
        </w:rPr>
        <w:t>。发挥牵头部门职能，重点公开与群众密切相关的消费品和全域旅游、体育健身、医养结合、健康管理、文化创意等新兴服务业的消费情况，引导消费升级。</w:t>
      </w:r>
    </w:p>
    <w:p w:rsidR="001C78D0" w:rsidRDefault="001C78D0" w:rsidP="001C78D0">
      <w:pPr>
        <w:pStyle w:val="a4"/>
        <w:shd w:val="clear" w:color="auto" w:fill="FFFFFF"/>
        <w:spacing w:beforeAutospacing="0" w:afterAutospacing="0" w:line="560" w:lineRule="exact"/>
        <w:ind w:firstLineChars="200" w:firstLine="640"/>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3.以政务公开增强政务公开工作实效</w:t>
      </w:r>
    </w:p>
    <w:p w:rsidR="001C78D0" w:rsidRDefault="001C78D0" w:rsidP="001C78D0">
      <w:pPr>
        <w:pStyle w:val="a4"/>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围绕全年政务公开重点工作任务，进一步完善主动公开基本目录，细化公开要求。组织实施好基层政务公开标准化规范化试点工作。对涉及公众利益、需要社会广泛知晓的电视电话会议，除涉及国家秘密的外，积极通过网络、新媒体直播向社会公开。进一步做好人大代表建议和政协</w:t>
      </w:r>
      <w:r>
        <w:rPr>
          <w:rFonts w:ascii="仿宋_GB2312" w:eastAsia="仿宋_GB2312" w:hAnsi="仿宋_GB2312" w:cs="仿宋_GB2312" w:hint="eastAsia"/>
          <w:bCs/>
          <w:sz w:val="32"/>
          <w:szCs w:val="32"/>
        </w:rPr>
        <w:t>委</w:t>
      </w:r>
      <w:r>
        <w:rPr>
          <w:rFonts w:ascii="仿宋_GB2312" w:eastAsia="仿宋_GB2312" w:hAnsi="仿宋_GB2312" w:cs="仿宋_GB2312" w:hint="eastAsia"/>
          <w:sz w:val="32"/>
          <w:szCs w:val="32"/>
        </w:rPr>
        <w:t>员提案办理结果公开工作，对涉及公共利益、社会广泛关注的建议提案，原及时公开答复全文。</w:t>
      </w:r>
    </w:p>
    <w:p w:rsidR="001C78D0" w:rsidRDefault="001C78D0" w:rsidP="001C78D0">
      <w:pPr>
        <w:pStyle w:val="a4"/>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（2）进一步健全解读回应机制。严格依照“谁起草、谁解</w:t>
      </w:r>
      <w:r>
        <w:rPr>
          <w:rFonts w:ascii="仿宋_GB2312" w:eastAsia="仿宋_GB2312" w:hAnsi="仿宋_GB2312" w:cs="仿宋_GB2312" w:hint="eastAsia"/>
          <w:sz w:val="32"/>
          <w:szCs w:val="32"/>
        </w:rPr>
        <w:lastRenderedPageBreak/>
        <w:t>读”的原则，做到政策性文件与解读方案、解读</w:t>
      </w:r>
      <w:hyperlink r:id="rId7" w:tgtFrame="_blank" w:history="1">
        <w:r>
          <w:rPr>
            <w:rStyle w:val="a5"/>
            <w:rFonts w:ascii="仿宋_GB2312" w:eastAsia="仿宋_GB2312" w:hAnsi="仿宋_GB2312" w:cs="仿宋_GB2312" w:hint="eastAsia"/>
            <w:color w:val="auto"/>
            <w:sz w:val="32"/>
            <w:szCs w:val="32"/>
            <w:u w:val="none"/>
          </w:rPr>
          <w:t>材料</w:t>
        </w:r>
      </w:hyperlink>
      <w:r>
        <w:rPr>
          <w:rFonts w:ascii="仿宋_GB2312" w:eastAsia="仿宋_GB2312" w:hAnsi="仿宋_GB2312" w:cs="仿宋_GB2312" w:hint="eastAsia"/>
          <w:sz w:val="32"/>
          <w:szCs w:val="32"/>
        </w:rPr>
        <w:t>同步组织、同步审签、同步部署。创新解读方式方法，运用部门解读、专家解读、媒体解读等方式，数字化、图表图解、音频视频等方法，多角度、全方位阐释政策，提升解读的权威性、针对性和有效性。落实政务舆情回应责任，明确回应主体，做好舆情回应工作。积极做好舆情监测工作，特别重大、重大突发事件最迟5小时内发布权威信息、24小时内举行新闻发布会的时限要求，要认真研判、快速反应、及时发声，并迅速澄清事实，消除不良影响。</w:t>
      </w:r>
    </w:p>
    <w:p w:rsidR="001C78D0" w:rsidRDefault="001C78D0" w:rsidP="001C78D0">
      <w:pPr>
        <w:pStyle w:val="a4"/>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积极扩大公众参与。通过开展在线访谈、意见征集、网上调查等，加强与公众的互动交流，广泛倾听公众意见建议，接受社会批评监督，搭建政府与公众交流的“直通车”。进一步完善公众意见收集、处理、反馈机制，了解民情，回答问题，增进公众对政府工作的认同和支持。</w:t>
      </w:r>
    </w:p>
    <w:p w:rsidR="001C78D0" w:rsidRDefault="001C78D0" w:rsidP="001C78D0">
      <w:pPr>
        <w:pStyle w:val="a4"/>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依法规范依申请公开工作。畅通依申请公开受理渠道，进一步规范依申请公开答复工作，严格按照法定时限、有针对性的、依照规定形式进行答复。对依申请公开工作中发现的依法行政方面问题，及时发现、及时整改、及时规范。对公众申请较为集中的政府信息，可以转为主动公开的，应当主动公开。</w:t>
      </w:r>
    </w:p>
    <w:p w:rsidR="001C78D0" w:rsidRDefault="001C78D0" w:rsidP="001C78D0">
      <w:pPr>
        <w:widowControl/>
        <w:shd w:val="clear" w:color="auto" w:fill="FFFFFF"/>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（二）政府信息管理方面</w:t>
      </w:r>
    </w:p>
    <w:p w:rsidR="001C78D0" w:rsidRDefault="001C78D0" w:rsidP="001C78D0">
      <w:pPr>
        <w:pStyle w:val="reader-word-layerreader-word-s1-7"/>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商务局认真做好门户网站内容管理系统、信息公开管理系统的维护工作，及类政府信息的保密审查工作。对于可以在网上公开的，在完成保密审批流程后、及时上传发布。发布内容涉及外</w:t>
      </w:r>
      <w:r>
        <w:rPr>
          <w:rFonts w:ascii="仿宋_GB2312" w:eastAsia="仿宋_GB2312" w:hint="eastAsia"/>
          <w:sz w:val="32"/>
          <w:szCs w:val="32"/>
        </w:rPr>
        <w:lastRenderedPageBreak/>
        <w:t>资、外贸、服务业、商业管理、市场建设等多项业务工作及理论学习、全局工作部署和总结会等，充分展示了商务局的工作动态，同时也对商务局的工作起到了监督和促进作用。</w:t>
      </w:r>
    </w:p>
    <w:p w:rsidR="001C78D0" w:rsidRDefault="001C78D0" w:rsidP="001C78D0">
      <w:pPr>
        <w:widowControl/>
        <w:shd w:val="clear" w:color="auto" w:fill="FFFFFF"/>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（三）平台建设方面</w:t>
      </w:r>
    </w:p>
    <w:p w:rsidR="001C78D0" w:rsidRDefault="001C78D0" w:rsidP="001C78D0">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我局信息公开工作人员由本机关的党政综合办公室组成，信息公开主要平台有“东丽商务”官方新浪微博和“东丽商务”官方微信公众号。</w:t>
      </w:r>
    </w:p>
    <w:p w:rsidR="001C78D0" w:rsidRDefault="001C78D0" w:rsidP="001C78D0">
      <w:pPr>
        <w:widowControl/>
        <w:shd w:val="clear" w:color="auto" w:fill="FFFFFF"/>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（三）制度建设方面</w:t>
      </w:r>
    </w:p>
    <w:p w:rsidR="001C78D0" w:rsidRDefault="001C78D0" w:rsidP="001C78D0">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商务局制定完善各项政务公开工作制度，包括信息报送制度、保密审查制度等。同时，在工作中不断加强对各项规章制度落实情况的监督，明确规定政务公开信息报送的内容、实事求是的原则、报送和公开的流程，使政务公开工作更加规范化，为政务信息公开工作的有序开展提供了制度保障。</w:t>
      </w:r>
    </w:p>
    <w:p w:rsidR="001C78D0" w:rsidRDefault="001C78D0" w:rsidP="001C78D0">
      <w:pPr>
        <w:widowControl/>
        <w:shd w:val="clear" w:color="auto" w:fill="FFFFFF"/>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（四）机构建设方面</w:t>
      </w:r>
    </w:p>
    <w:p w:rsidR="001C78D0" w:rsidRDefault="001C78D0" w:rsidP="001C78D0">
      <w:pPr>
        <w:spacing w:line="560" w:lineRule="exact"/>
        <w:ind w:firstLineChars="200" w:firstLine="640"/>
        <w:rPr>
          <w:rFonts w:ascii="仿宋_GB2312" w:eastAsia="仿宋_GB2312"/>
          <w:sz w:val="32"/>
          <w:szCs w:val="32"/>
        </w:rPr>
      </w:pPr>
      <w:r>
        <w:rPr>
          <w:rFonts w:ascii="仿宋_GB2312" w:eastAsia="仿宋_GB2312" w:hint="eastAsia"/>
          <w:sz w:val="32"/>
          <w:szCs w:val="32"/>
        </w:rPr>
        <w:t>商务局领导班子十分重视政务公开工作，把政务公开作为加强机关作风建设，促进业务开展，树立商务部门良好形象的重要举措。成立了商务局政务公开工作领导小组，多次召开党组会议，对政务公开工作进行研究部署。同时，各科室指定专人负责政务公开信息的撰写和上报，为商务局政务公开工作的开展奠定了坚实的组织基础。</w:t>
      </w:r>
    </w:p>
    <w:p w:rsidR="001C78D0" w:rsidRDefault="001C78D0" w:rsidP="00EE4A08">
      <w:pPr>
        <w:widowControl/>
        <w:shd w:val="clear" w:color="auto" w:fill="FFFFFF"/>
        <w:spacing w:beforeLines="100" w:afterLines="50" w:line="560" w:lineRule="exact"/>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1C78D0" w:rsidTr="00FA3672">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lastRenderedPageBreak/>
              <w:t>第二十条第（一）项</w:t>
            </w:r>
          </w:p>
        </w:tc>
      </w:tr>
      <w:tr w:rsidR="001C78D0" w:rsidTr="00FA3672">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本年新</w:t>
            </w:r>
            <w:r>
              <w:rPr>
                <w:rFonts w:ascii="宋体" w:hAnsi="宋体" w:cs="宋体" w:hint="eastAsia"/>
                <w:kern w:val="0"/>
                <w:sz w:val="20"/>
                <w:szCs w:val="20"/>
              </w:rPr>
              <w:br/>
            </w:r>
            <w:r>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本年新</w:t>
            </w:r>
            <w:r>
              <w:rPr>
                <w:rFonts w:ascii="宋体" w:hAnsi="宋体" w:cs="宋体" w:hint="eastAsia"/>
                <w:kern w:val="0"/>
                <w:sz w:val="20"/>
                <w:szCs w:val="20"/>
              </w:rPr>
              <w:br/>
            </w:r>
            <w:r>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对外公开总数量</w:t>
            </w:r>
          </w:p>
        </w:tc>
      </w:tr>
      <w:tr w:rsidR="001C78D0" w:rsidTr="00FA3672">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left"/>
              <w:rPr>
                <w:rFonts w:ascii="宋体" w:hAnsi="宋体" w:cs="宋体"/>
                <w:kern w:val="0"/>
                <w:sz w:val="24"/>
              </w:rPr>
            </w:pPr>
            <w:r>
              <w:rPr>
                <w:rFonts w:ascii="宋体" w:hAnsi="宋体" w:cs="宋体" w:hint="eastAsia"/>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r>
      <w:tr w:rsidR="001C78D0" w:rsidTr="00FA3672">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left"/>
              <w:rPr>
                <w:rFonts w:ascii="宋体" w:hAnsi="宋体" w:cs="宋体"/>
                <w:kern w:val="0"/>
                <w:sz w:val="24"/>
              </w:rPr>
            </w:pPr>
            <w:r>
              <w:rPr>
                <w:rFonts w:ascii="宋体" w:hAnsi="宋体" w:cs="宋体" w:hint="eastAsia"/>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42</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42</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42</w:t>
            </w:r>
          </w:p>
        </w:tc>
      </w:tr>
      <w:tr w:rsidR="001C78D0" w:rsidTr="00FA3672">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第二十条第（五）项</w:t>
            </w:r>
          </w:p>
        </w:tc>
      </w:tr>
      <w:tr w:rsidR="001C78D0" w:rsidTr="00FA3672">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处理决定数量</w:t>
            </w:r>
          </w:p>
        </w:tc>
      </w:tr>
      <w:tr w:rsidR="001C78D0" w:rsidTr="00FA3672">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left"/>
              <w:rPr>
                <w:rFonts w:ascii="宋体" w:hAnsi="宋体" w:cs="宋体"/>
                <w:kern w:val="0"/>
                <w:sz w:val="24"/>
              </w:rPr>
            </w:pPr>
            <w:r>
              <w:rPr>
                <w:rFonts w:ascii="宋体" w:hAnsi="宋体" w:cs="宋体" w:hint="eastAsia"/>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r>
      <w:tr w:rsidR="001C78D0" w:rsidTr="00FA3672">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left"/>
              <w:rPr>
                <w:rFonts w:ascii="宋体" w:hAnsi="宋体" w:cs="宋体"/>
                <w:kern w:val="0"/>
                <w:sz w:val="24"/>
              </w:rPr>
            </w:pPr>
            <w:r>
              <w:rPr>
                <w:rFonts w:ascii="宋体" w:hAnsi="宋体" w:cs="宋体" w:hint="eastAsia"/>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r>
      <w:tr w:rsidR="001C78D0" w:rsidTr="00FA3672">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第二十条第（六）项</w:t>
            </w:r>
          </w:p>
        </w:tc>
      </w:tr>
      <w:tr w:rsidR="001C78D0" w:rsidTr="00FA3672">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处理决定数量</w:t>
            </w:r>
          </w:p>
        </w:tc>
      </w:tr>
      <w:tr w:rsidR="001C78D0" w:rsidTr="00FA3672">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left"/>
              <w:rPr>
                <w:rFonts w:ascii="宋体" w:hAnsi="宋体" w:cs="宋体"/>
                <w:kern w:val="0"/>
                <w:sz w:val="24"/>
              </w:rPr>
            </w:pPr>
            <w:r>
              <w:rPr>
                <w:rFonts w:ascii="宋体" w:hAnsi="宋体" w:cs="宋体" w:hint="eastAsia"/>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r>
      <w:tr w:rsidR="001C78D0" w:rsidTr="00FA3672">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left"/>
              <w:rPr>
                <w:rFonts w:ascii="宋体" w:hAnsi="宋体" w:cs="宋体"/>
                <w:kern w:val="0"/>
                <w:sz w:val="24"/>
              </w:rPr>
            </w:pPr>
            <w:r>
              <w:rPr>
                <w:rFonts w:ascii="宋体" w:hAnsi="宋体" w:cs="宋体" w:hint="eastAsia"/>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r>
      <w:tr w:rsidR="001C78D0" w:rsidTr="00FA3672">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第二十条第（八）项</w:t>
            </w:r>
          </w:p>
        </w:tc>
      </w:tr>
      <w:tr w:rsidR="001C78D0" w:rsidTr="00FA3672">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left"/>
              <w:rPr>
                <w:rFonts w:ascii="宋体" w:hAnsi="宋体" w:cs="宋体"/>
                <w:kern w:val="0"/>
                <w:sz w:val="24"/>
              </w:rPr>
            </w:pPr>
            <w:r>
              <w:rPr>
                <w:rFonts w:ascii="宋体" w:hAnsi="宋体" w:cs="宋体" w:hint="eastAsia"/>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本年增/减</w:t>
            </w:r>
          </w:p>
        </w:tc>
      </w:tr>
      <w:tr w:rsidR="001C78D0" w:rsidTr="00FA3672">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left"/>
              <w:rPr>
                <w:rFonts w:ascii="宋体" w:hAnsi="宋体" w:cs="宋体"/>
                <w:kern w:val="0"/>
                <w:sz w:val="24"/>
              </w:rPr>
            </w:pPr>
            <w:r>
              <w:rPr>
                <w:rFonts w:ascii="宋体" w:hAnsi="宋体" w:cs="宋体" w:hint="eastAsia"/>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0</w:t>
            </w:r>
          </w:p>
        </w:tc>
      </w:tr>
      <w:tr w:rsidR="001C78D0" w:rsidTr="00FA3672">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第二十条第（九）项</w:t>
            </w:r>
          </w:p>
        </w:tc>
      </w:tr>
      <w:tr w:rsidR="001C78D0" w:rsidTr="00FA3672">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采购总金额</w:t>
            </w:r>
          </w:p>
        </w:tc>
      </w:tr>
      <w:tr w:rsidR="001C78D0" w:rsidTr="00FA3672">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left"/>
              <w:rPr>
                <w:rFonts w:ascii="宋体" w:hAnsi="宋体" w:cs="宋体"/>
                <w:kern w:val="0"/>
                <w:sz w:val="24"/>
              </w:rPr>
            </w:pPr>
            <w:r>
              <w:rPr>
                <w:rFonts w:ascii="宋体" w:hAnsi="宋体" w:cs="宋体" w:hint="eastAsia"/>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0"/>
                <w:szCs w:val="20"/>
              </w:rPr>
            </w:pPr>
            <w:r>
              <w:rPr>
                <w:rFonts w:ascii="宋体" w:hAnsi="宋体" w:cs="宋体" w:hint="eastAsia"/>
                <w:kern w:val="0"/>
                <w:sz w:val="20"/>
                <w:szCs w:val="20"/>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0"/>
                <w:szCs w:val="20"/>
              </w:rPr>
            </w:pPr>
            <w:r>
              <w:rPr>
                <w:rFonts w:ascii="宋体" w:hAnsi="宋体" w:cs="宋体" w:hint="eastAsia"/>
                <w:kern w:val="0"/>
                <w:sz w:val="20"/>
                <w:szCs w:val="20"/>
              </w:rPr>
              <w:t>2500</w:t>
            </w:r>
          </w:p>
        </w:tc>
      </w:tr>
    </w:tbl>
    <w:p w:rsidR="001C78D0" w:rsidRDefault="001C78D0" w:rsidP="00EE4A08">
      <w:pPr>
        <w:widowControl/>
        <w:shd w:val="clear" w:color="auto" w:fill="FFFFFF"/>
        <w:spacing w:beforeLines="100" w:afterLines="50" w:line="560" w:lineRule="exact"/>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t>三、收到和处理政府信息公开申请情况</w:t>
      </w:r>
    </w:p>
    <w:tbl>
      <w:tblPr>
        <w:tblW w:w="9071" w:type="dxa"/>
        <w:jc w:val="center"/>
        <w:tblCellMar>
          <w:left w:w="0" w:type="dxa"/>
          <w:right w:w="0" w:type="dxa"/>
        </w:tblCellMar>
        <w:tblLook w:val="04A0"/>
      </w:tblPr>
      <w:tblGrid>
        <w:gridCol w:w="616"/>
        <w:gridCol w:w="854"/>
        <w:gridCol w:w="2086"/>
        <w:gridCol w:w="813"/>
        <w:gridCol w:w="755"/>
        <w:gridCol w:w="755"/>
        <w:gridCol w:w="813"/>
        <w:gridCol w:w="973"/>
        <w:gridCol w:w="711"/>
        <w:gridCol w:w="695"/>
      </w:tblGrid>
      <w:tr w:rsidR="001C78D0" w:rsidTr="00EE4A08">
        <w:trPr>
          <w:trHeight w:val="90"/>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78D0" w:rsidRDefault="001C78D0" w:rsidP="00EE4A08">
            <w:pPr>
              <w:widowControl/>
              <w:jc w:val="center"/>
              <w:rPr>
                <w:rFonts w:ascii="宋体" w:hAnsi="宋体" w:cs="宋体"/>
                <w:kern w:val="0"/>
                <w:sz w:val="24"/>
              </w:rPr>
            </w:pPr>
            <w:r>
              <w:rPr>
                <w:rFonts w:ascii="宋体" w:hAnsi="宋体" w:cs="宋体" w:hint="eastAsia"/>
                <w:kern w:val="0"/>
                <w:sz w:val="20"/>
                <w:szCs w:val="20"/>
              </w:rPr>
              <w:t>（本列数据的勾稽关系为：第一项加第二项之和，等于第三项加第四项之和）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EE4A08">
            <w:pPr>
              <w:widowControl/>
              <w:jc w:val="center"/>
              <w:rPr>
                <w:rFonts w:ascii="宋体" w:hAnsi="宋体" w:cs="宋体"/>
                <w:kern w:val="0"/>
                <w:sz w:val="24"/>
              </w:rPr>
            </w:pPr>
            <w:r>
              <w:rPr>
                <w:rFonts w:ascii="宋体" w:hAnsi="宋体" w:cs="宋体" w:hint="eastAsia"/>
                <w:kern w:val="0"/>
                <w:sz w:val="20"/>
                <w:szCs w:val="20"/>
              </w:rPr>
              <w:t>申请人情况</w:t>
            </w:r>
          </w:p>
        </w:tc>
      </w:tr>
      <w:tr w:rsidR="001C78D0" w:rsidTr="00EE4A08">
        <w:trPr>
          <w:jc w:val="center"/>
        </w:trPr>
        <w:tc>
          <w:tcPr>
            <w:tcW w:w="3556" w:type="dxa"/>
            <w:gridSpan w:val="3"/>
            <w:vMerge/>
            <w:tcBorders>
              <w:top w:val="single" w:sz="8" w:space="0" w:color="auto"/>
              <w:left w:val="single" w:sz="8" w:space="0" w:color="auto"/>
              <w:bottom w:val="single" w:sz="8" w:space="0" w:color="auto"/>
              <w:right w:val="single" w:sz="8" w:space="0" w:color="auto"/>
            </w:tcBorders>
            <w:vAlign w:val="center"/>
          </w:tcPr>
          <w:p w:rsidR="001C78D0" w:rsidRDefault="001C78D0" w:rsidP="00EE4A08">
            <w:pPr>
              <w:widowControl/>
              <w:jc w:val="center"/>
              <w:rPr>
                <w:rFonts w:ascii="宋体" w:hAnsi="宋体" w:cs="宋体"/>
                <w:kern w:val="0"/>
                <w:sz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EE4A08">
            <w:pPr>
              <w:widowControl/>
              <w:jc w:val="center"/>
              <w:rPr>
                <w:rFonts w:ascii="宋体" w:hAnsi="宋体" w:cs="宋体"/>
                <w:kern w:val="0"/>
                <w:sz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EE4A08">
            <w:pPr>
              <w:widowControl/>
              <w:jc w:val="center"/>
              <w:rPr>
                <w:rFonts w:ascii="宋体" w:hAnsi="宋体" w:cs="宋体"/>
                <w:kern w:val="0"/>
                <w:sz w:val="24"/>
              </w:rPr>
            </w:pPr>
            <w:r>
              <w:rPr>
                <w:rFonts w:ascii="宋体" w:hAnsi="宋体" w:cs="宋体" w:hint="eastAsia"/>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EE4A08">
            <w:pPr>
              <w:widowControl/>
              <w:jc w:val="center"/>
              <w:rPr>
                <w:rFonts w:ascii="宋体" w:hAnsi="宋体" w:cs="宋体"/>
                <w:kern w:val="0"/>
                <w:sz w:val="24"/>
              </w:rPr>
            </w:pPr>
            <w:r>
              <w:rPr>
                <w:rFonts w:ascii="宋体" w:hAnsi="宋体" w:cs="宋体" w:hint="eastAsia"/>
                <w:kern w:val="0"/>
                <w:sz w:val="20"/>
                <w:szCs w:val="20"/>
              </w:rPr>
              <w:t>总计</w:t>
            </w:r>
          </w:p>
        </w:tc>
      </w:tr>
      <w:tr w:rsidR="001C78D0" w:rsidTr="00EE4A08">
        <w:trPr>
          <w:jc w:val="center"/>
        </w:trPr>
        <w:tc>
          <w:tcPr>
            <w:tcW w:w="3556" w:type="dxa"/>
            <w:gridSpan w:val="3"/>
            <w:vMerge/>
            <w:tcBorders>
              <w:top w:val="single" w:sz="8" w:space="0" w:color="auto"/>
              <w:left w:val="single" w:sz="8" w:space="0" w:color="auto"/>
              <w:bottom w:val="single" w:sz="8" w:space="0" w:color="auto"/>
              <w:right w:val="single" w:sz="8" w:space="0" w:color="auto"/>
            </w:tcBorders>
            <w:vAlign w:val="center"/>
          </w:tcPr>
          <w:p w:rsidR="001C78D0" w:rsidRDefault="001C78D0" w:rsidP="00EE4A08">
            <w:pPr>
              <w:widowControl/>
              <w:jc w:val="center"/>
              <w:rPr>
                <w:rFonts w:ascii="宋体" w:hAnsi="宋体" w:cs="宋体"/>
                <w:kern w:val="0"/>
                <w:sz w:val="24"/>
              </w:rPr>
            </w:pPr>
          </w:p>
        </w:tc>
        <w:tc>
          <w:tcPr>
            <w:tcW w:w="813" w:type="dxa"/>
            <w:vMerge/>
            <w:tcBorders>
              <w:top w:val="nil"/>
              <w:left w:val="nil"/>
              <w:bottom w:val="single" w:sz="8" w:space="0" w:color="auto"/>
              <w:right w:val="single" w:sz="8" w:space="0" w:color="auto"/>
            </w:tcBorders>
            <w:vAlign w:val="center"/>
          </w:tcPr>
          <w:p w:rsidR="001C78D0" w:rsidRDefault="001C78D0" w:rsidP="00EE4A08">
            <w:pPr>
              <w:widowControl/>
              <w:jc w:val="center"/>
              <w:rPr>
                <w:rFonts w:ascii="宋体" w:hAnsi="宋体"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EE4A08">
            <w:pPr>
              <w:widowControl/>
              <w:jc w:val="center"/>
              <w:rPr>
                <w:rFonts w:ascii="宋体" w:hAnsi="宋体" w:cs="宋体"/>
                <w:kern w:val="0"/>
                <w:sz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EE4A08">
            <w:pPr>
              <w:widowControl/>
              <w:jc w:val="center"/>
              <w:rPr>
                <w:rFonts w:ascii="宋体" w:hAnsi="宋体" w:cs="宋体"/>
                <w:kern w:val="0"/>
                <w:sz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EE4A08">
            <w:pPr>
              <w:widowControl/>
              <w:jc w:val="center"/>
              <w:rPr>
                <w:rFonts w:ascii="宋体" w:hAnsi="宋体" w:cs="宋体"/>
                <w:kern w:val="0"/>
                <w:sz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EE4A08">
            <w:pPr>
              <w:widowControl/>
              <w:jc w:val="center"/>
              <w:rPr>
                <w:rFonts w:ascii="宋体" w:hAnsi="宋体" w:cs="宋体"/>
                <w:kern w:val="0"/>
                <w:sz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EE4A08">
            <w:pPr>
              <w:widowControl/>
              <w:jc w:val="center"/>
              <w:rPr>
                <w:rFonts w:ascii="宋体" w:hAnsi="宋体" w:cs="宋体"/>
                <w:kern w:val="0"/>
                <w:sz w:val="24"/>
              </w:rPr>
            </w:pPr>
            <w:r>
              <w:rPr>
                <w:rFonts w:ascii="宋体" w:hAnsi="宋体" w:cs="宋体" w:hint="eastAsia"/>
                <w:kern w:val="0"/>
                <w:sz w:val="20"/>
                <w:szCs w:val="20"/>
              </w:rPr>
              <w:t>其他</w:t>
            </w:r>
          </w:p>
        </w:tc>
        <w:tc>
          <w:tcPr>
            <w:tcW w:w="695" w:type="dxa"/>
            <w:vMerge/>
            <w:tcBorders>
              <w:top w:val="single" w:sz="8" w:space="0" w:color="auto"/>
              <w:left w:val="nil"/>
              <w:bottom w:val="single" w:sz="8" w:space="0" w:color="auto"/>
              <w:right w:val="single" w:sz="8" w:space="0" w:color="auto"/>
            </w:tcBorders>
            <w:vAlign w:val="center"/>
          </w:tcPr>
          <w:p w:rsidR="001C78D0" w:rsidRDefault="001C78D0" w:rsidP="00EE4A08">
            <w:pPr>
              <w:widowControl/>
              <w:jc w:val="center"/>
              <w:rPr>
                <w:rFonts w:ascii="宋体" w:hAnsi="宋体" w:cs="宋体"/>
                <w:kern w:val="0"/>
                <w:sz w:val="24"/>
              </w:rPr>
            </w:pPr>
          </w:p>
        </w:tc>
      </w:tr>
      <w:tr w:rsidR="00EE4A08" w:rsidTr="00EE4A08">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宋体" w:hAnsi="宋体" w:cs="宋体"/>
                <w:kern w:val="0"/>
                <w:sz w:val="24"/>
              </w:rPr>
            </w:pPr>
            <w:r>
              <w:rPr>
                <w:rFonts w:ascii="宋体" w:hAnsi="宋体" w:cs="宋体" w:hint="eastAsia"/>
                <w:kern w:val="0"/>
                <w:sz w:val="20"/>
                <w:szCs w:val="20"/>
              </w:rPr>
              <w:lastRenderedPageBreak/>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r>
      <w:tr w:rsidR="00EE4A08" w:rsidTr="00EE4A08">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宋体" w:hAnsi="宋体" w:cs="宋体"/>
                <w:kern w:val="0"/>
                <w:sz w:val="24"/>
              </w:rPr>
            </w:pPr>
            <w:r>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C251ED">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宋体" w:hAnsi="宋体" w:cs="宋体"/>
                <w:kern w:val="0"/>
                <w:sz w:val="24"/>
              </w:rPr>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DD1793">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楷体_GB2312" w:eastAsia="楷体_GB2312" w:hAnsi="宋体" w:cs="宋体"/>
                <w:kern w:val="0"/>
                <w:sz w:val="24"/>
              </w:rPr>
            </w:pPr>
            <w:r>
              <w:rPr>
                <w:rFonts w:ascii="楷体_GB2312" w:eastAsia="楷体_GB2312"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楷体_GB2312" w:eastAsia="楷体_GB2312" w:hAnsi="宋体" w:cs="宋体"/>
                <w:kern w:val="0"/>
                <w:sz w:val="24"/>
              </w:rPr>
            </w:pPr>
            <w:r>
              <w:rPr>
                <w:rFonts w:ascii="楷体_GB2312" w:eastAsia="楷体_GB2312"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楷体_GB2312" w:eastAsia="楷体_GB2312" w:hAnsi="宋体" w:cs="宋体"/>
                <w:kern w:val="0"/>
                <w:sz w:val="24"/>
              </w:rPr>
            </w:pPr>
            <w:r>
              <w:rPr>
                <w:rFonts w:ascii="楷体_GB2312" w:eastAsia="楷体_GB2312" w:hAnsi="楷体" w:cs="宋体" w:hint="eastAsia"/>
                <w:kern w:val="0"/>
                <w:sz w:val="20"/>
                <w:szCs w:val="20"/>
              </w:rPr>
              <w:t>（五）</w:t>
            </w:r>
            <w:r>
              <w:rPr>
                <w:rFonts w:ascii="楷体_GB2312" w:eastAsia="楷体_GB2312" w:hAnsi="楷体" w:cs="宋体" w:hint="eastAsia"/>
                <w:kern w:val="0"/>
                <w:sz w:val="20"/>
                <w:szCs w:val="20"/>
              </w:rPr>
              <w:lastRenderedPageBreak/>
              <w:t>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lastRenderedPageBreak/>
              <w:t>1.信访举报投诉类申</w:t>
            </w:r>
            <w:r>
              <w:rPr>
                <w:rFonts w:ascii="楷体_GB2312" w:eastAsia="楷体_GB2312" w:hAnsi="楷体" w:cs="宋体" w:hint="eastAsia"/>
                <w:kern w:val="0"/>
                <w:sz w:val="20"/>
                <w:szCs w:val="20"/>
              </w:rPr>
              <w:lastRenderedPageBreak/>
              <w:t>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lastRenderedPageBreak/>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854" w:type="dxa"/>
            <w:vMerge/>
            <w:tcBorders>
              <w:top w:val="nil"/>
              <w:left w:val="nil"/>
              <w:bottom w:val="single" w:sz="8" w:space="0" w:color="auto"/>
              <w:right w:val="single" w:sz="8" w:space="0" w:color="auto"/>
            </w:tcBorders>
            <w:vAlign w:val="center"/>
          </w:tcPr>
          <w:p w:rsidR="00EE4A08" w:rsidRDefault="00EE4A08" w:rsidP="00EE4A08">
            <w:pPr>
              <w:widowControl/>
              <w:jc w:val="center"/>
              <w:rPr>
                <w:rFonts w:ascii="楷体_GB2312" w:eastAsia="楷体_GB2312"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spacing w:line="500" w:lineRule="exact"/>
              <w:jc w:val="center"/>
              <w:rPr>
                <w:rFonts w:ascii="楷体_GB2312" w:eastAsia="楷体_GB2312" w:hAnsi="宋体" w:cs="宋体"/>
                <w:kern w:val="0"/>
                <w:sz w:val="24"/>
              </w:rPr>
            </w:pPr>
            <w:r>
              <w:rPr>
                <w:rFonts w:ascii="楷体_GB2312" w:eastAsia="楷体_GB2312" w:hAnsi="楷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31699">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楷体_GB2312" w:eastAsia="楷体_GB2312" w:hAnsi="宋体" w:cs="宋体"/>
                <w:kern w:val="0"/>
                <w:sz w:val="24"/>
              </w:rPr>
            </w:pPr>
            <w:r>
              <w:rPr>
                <w:rFonts w:ascii="楷体_GB2312" w:eastAsia="楷体_GB2312"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r>
      <w:tr w:rsidR="00EE4A08" w:rsidTr="00EE4A08">
        <w:trPr>
          <w:jc w:val="center"/>
        </w:trPr>
        <w:tc>
          <w:tcPr>
            <w:tcW w:w="616" w:type="dxa"/>
            <w:vMerge/>
            <w:tcBorders>
              <w:top w:val="nil"/>
              <w:left w:val="single" w:sz="8" w:space="0" w:color="auto"/>
              <w:bottom w:val="single" w:sz="8" w:space="0" w:color="auto"/>
              <w:right w:val="single" w:sz="8" w:space="0" w:color="auto"/>
            </w:tcBorders>
            <w:vAlign w:val="center"/>
          </w:tcPr>
          <w:p w:rsidR="00EE4A08" w:rsidRDefault="00EE4A08" w:rsidP="00EE4A08">
            <w:pPr>
              <w:widowControl/>
              <w:jc w:val="center"/>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楷体_GB2312" w:eastAsia="楷体_GB2312" w:hAnsi="宋体" w:cs="宋体"/>
                <w:kern w:val="0"/>
                <w:sz w:val="24"/>
              </w:rPr>
            </w:pPr>
            <w:r>
              <w:rPr>
                <w:rFonts w:ascii="楷体_GB2312" w:eastAsia="楷体_GB2312"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3B4B10">
              <w:rPr>
                <w:rFonts w:asciiTheme="minorEastAsia" w:eastAsiaTheme="minorEastAsia" w:hAnsiTheme="minorEastAsia" w:cstheme="minorEastAsia" w:hint="eastAsia"/>
                <w:kern w:val="0"/>
                <w:sz w:val="20"/>
                <w:szCs w:val="20"/>
              </w:rPr>
              <w:t>0</w:t>
            </w:r>
          </w:p>
        </w:tc>
      </w:tr>
      <w:tr w:rsidR="00EE4A08" w:rsidTr="00EE4A08">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宋体" w:hAnsi="宋体" w:cs="宋体"/>
                <w:kern w:val="0"/>
                <w:sz w:val="24"/>
              </w:rPr>
            </w:pPr>
            <w:r>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9433DE">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9433DE">
              <w:rPr>
                <w:rFonts w:asciiTheme="minorEastAsia" w:eastAsiaTheme="minorEastAsia" w:hAnsiTheme="minorEastAsia" w:cstheme="minorEastAsia"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9433DE">
              <w:rPr>
                <w:rFonts w:asciiTheme="minorEastAsia" w:eastAsiaTheme="minorEastAsia" w:hAnsiTheme="minorEastAsia" w:cstheme="minorEastAsia"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9433DE">
              <w:rPr>
                <w:rFonts w:asciiTheme="minorEastAsia" w:eastAsiaTheme="minorEastAsia" w:hAnsiTheme="minorEastAsia" w:cstheme="minorEastAsia"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9433DE">
              <w:rPr>
                <w:rFonts w:asciiTheme="minorEastAsia" w:eastAsiaTheme="minorEastAsia" w:hAnsiTheme="minorEastAsia" w:cstheme="minorEastAsia"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jc w:val="center"/>
            </w:pPr>
            <w:r w:rsidRPr="009433DE">
              <w:rPr>
                <w:rFonts w:asciiTheme="minorEastAsia" w:eastAsiaTheme="minorEastAsia" w:hAnsiTheme="minorEastAsia" w:cstheme="minorEastAsia"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r>
    </w:tbl>
    <w:p w:rsidR="001C78D0" w:rsidRDefault="001C78D0" w:rsidP="00EE4A08">
      <w:pPr>
        <w:widowControl/>
        <w:shd w:val="clear" w:color="auto" w:fill="FFFFFF"/>
        <w:spacing w:beforeLines="100" w:afterLines="50" w:line="560" w:lineRule="exact"/>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t>四、政府信息公开行政复议、行政诉讼情况</w:t>
      </w:r>
    </w:p>
    <w:tbl>
      <w:tblPr>
        <w:tblW w:w="9071" w:type="dxa"/>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1C78D0" w:rsidTr="00EE4A08">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行政诉讼</w:t>
            </w:r>
          </w:p>
        </w:tc>
      </w:tr>
      <w:tr w:rsidR="001C78D0" w:rsidTr="00EE4A08">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复议后起诉</w:t>
            </w:r>
          </w:p>
        </w:tc>
      </w:tr>
      <w:tr w:rsidR="001C78D0" w:rsidTr="00EE4A08">
        <w:tc>
          <w:tcPr>
            <w:tcW w:w="0" w:type="auto"/>
            <w:vMerge/>
            <w:tcBorders>
              <w:top w:val="nil"/>
              <w:left w:val="single" w:sz="8" w:space="0" w:color="auto"/>
              <w:bottom w:val="single" w:sz="8" w:space="0" w:color="auto"/>
              <w:right w:val="single" w:sz="8" w:space="0" w:color="auto"/>
            </w:tcBorders>
            <w:vAlign w:val="center"/>
          </w:tcPr>
          <w:p w:rsidR="001C78D0" w:rsidRDefault="001C78D0" w:rsidP="00FA3672">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1C78D0" w:rsidRDefault="001C78D0" w:rsidP="00FA3672">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1C78D0" w:rsidRDefault="001C78D0" w:rsidP="00FA3672">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1C78D0" w:rsidRDefault="001C78D0" w:rsidP="00FA3672">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1C78D0" w:rsidRDefault="001C78D0" w:rsidP="00FA3672">
            <w:pPr>
              <w:widowControl/>
              <w:jc w:val="left"/>
              <w:rPr>
                <w:rFonts w:ascii="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78D0" w:rsidRDefault="001C78D0" w:rsidP="00FA3672">
            <w:pPr>
              <w:widowControl/>
              <w:jc w:val="center"/>
              <w:rPr>
                <w:rFonts w:ascii="宋体" w:hAnsi="宋体" w:cs="宋体"/>
                <w:kern w:val="0"/>
                <w:sz w:val="24"/>
              </w:rPr>
            </w:pPr>
            <w:r>
              <w:rPr>
                <w:rFonts w:ascii="宋体" w:hAnsi="宋体" w:cs="宋体" w:hint="eastAsia"/>
                <w:kern w:val="0"/>
                <w:sz w:val="20"/>
                <w:szCs w:val="20"/>
              </w:rPr>
              <w:t>总计</w:t>
            </w:r>
          </w:p>
        </w:tc>
      </w:tr>
      <w:tr w:rsidR="00EE4A08" w:rsidTr="00EE4A0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DB1163">
              <w:rPr>
                <w:rFonts w:asciiTheme="minorEastAsia" w:eastAsiaTheme="minorEastAsia" w:hAnsiTheme="minorEastAsia" w:cstheme="minorEastAsia"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DB1163">
              <w:rPr>
                <w:rFonts w:asciiTheme="minorEastAsia" w:eastAsiaTheme="minorEastAsia" w:hAnsiTheme="minorEastAsia" w:cstheme="minorEastAsia"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DB1163">
              <w:rPr>
                <w:rFonts w:asciiTheme="minorEastAsia" w:eastAsiaTheme="minorEastAsia" w:hAnsiTheme="minorEastAsia" w:cstheme="minorEastAsia"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DB1163">
              <w:rPr>
                <w:rFonts w:asciiTheme="minorEastAsia" w:eastAsiaTheme="minorEastAsia" w:hAnsiTheme="minorEastAsia" w:cstheme="minorEastAsia"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9A3B96">
              <w:rPr>
                <w:rFonts w:asciiTheme="minorEastAsia" w:eastAsiaTheme="minorEastAsia" w:hAnsiTheme="minorEastAsia" w:cstheme="minorEastAsia"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9A3B96">
              <w:rPr>
                <w:rFonts w:asciiTheme="minorEastAsia" w:eastAsiaTheme="minorEastAsia" w:hAnsiTheme="minorEastAsia" w:cstheme="minorEastAsia"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9A3B96">
              <w:rPr>
                <w:rFonts w:asciiTheme="minorEastAsia" w:eastAsiaTheme="minorEastAsia" w:hAnsiTheme="minorEastAsia" w:cstheme="minorEastAsia"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9A3B96">
              <w:rPr>
                <w:rFonts w:asciiTheme="minorEastAsia" w:eastAsiaTheme="minorEastAsia" w:hAnsiTheme="minorEastAsia" w:cstheme="minorEastAsia"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9A3B96">
              <w:rPr>
                <w:rFonts w:asciiTheme="minorEastAsia" w:eastAsiaTheme="minorEastAsia" w:hAnsiTheme="minorEastAsia" w:cstheme="minorEastAsia"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9A3B96">
              <w:rPr>
                <w:rFonts w:asciiTheme="minorEastAsia" w:eastAsiaTheme="minorEastAsia" w:hAnsiTheme="minorEastAsia" w:cstheme="minorEastAsia"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9A3B96">
              <w:rPr>
                <w:rFonts w:asciiTheme="minorEastAsia" w:eastAsiaTheme="minorEastAsia" w:hAnsiTheme="minorEastAsia" w:cstheme="minorEastAsia"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9A3B96">
              <w:rPr>
                <w:rFonts w:asciiTheme="minorEastAsia" w:eastAsiaTheme="minorEastAsia" w:hAnsiTheme="minorEastAsia" w:cstheme="minorEastAsia"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EE4A08" w:rsidRDefault="00EE4A08" w:rsidP="00EE4A08">
            <w:pPr>
              <w:jc w:val="center"/>
            </w:pPr>
            <w:r w:rsidRPr="009A3B96">
              <w:rPr>
                <w:rFonts w:asciiTheme="minorEastAsia" w:eastAsiaTheme="minorEastAsia" w:hAnsiTheme="minorEastAsia" w:cstheme="minorEastAsia"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EE4A08" w:rsidRDefault="00EE4A08" w:rsidP="00EE4A08">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r>
    </w:tbl>
    <w:p w:rsidR="001C78D0" w:rsidRDefault="001C78D0" w:rsidP="00EE4A08">
      <w:pPr>
        <w:widowControl/>
        <w:shd w:val="clear" w:color="auto" w:fill="FFFFFF"/>
        <w:spacing w:beforeLines="100" w:line="560" w:lineRule="exact"/>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t>五、存在的主要问题及改进情况</w:t>
      </w:r>
    </w:p>
    <w:p w:rsidR="001C78D0" w:rsidRDefault="001C78D0" w:rsidP="001C78D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政府信息公开工作中，我局虽然取得了一定成绩，但与区政府的要求相比还存在一些不足和问题，其主要表现在思想认识还不够到位、公开内容还不够全面、监督制约机制还有待于进一步健全完善。在今后工作中，我局将抓好以下几项工作落实，以</w:t>
      </w:r>
      <w:r>
        <w:rPr>
          <w:rFonts w:ascii="仿宋_GB2312" w:eastAsia="仿宋_GB2312" w:hAnsi="仿宋_GB2312" w:cs="仿宋_GB2312" w:hint="eastAsia"/>
          <w:sz w:val="32"/>
          <w:szCs w:val="32"/>
        </w:rPr>
        <w:lastRenderedPageBreak/>
        <w:t>强化提升我局政务信息公开工作：</w:t>
      </w:r>
    </w:p>
    <w:p w:rsidR="001C78D0" w:rsidRDefault="001C78D0" w:rsidP="001C78D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（一）继续规范政务信息公开内容</w:t>
      </w:r>
    </w:p>
    <w:p w:rsidR="001C78D0" w:rsidRDefault="001C78D0" w:rsidP="001C78D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严格按照区政府信息公开重点工作安排，对照商务信息公开内容，进一步扩大公开范围和内容。</w:t>
      </w:r>
    </w:p>
    <w:p w:rsidR="001C78D0" w:rsidRDefault="001C78D0" w:rsidP="001C78D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（二）不断加强信息平台建设维护</w:t>
      </w:r>
    </w:p>
    <w:p w:rsidR="001C78D0" w:rsidRDefault="001C78D0" w:rsidP="001C78D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按照区政府相关工作要求，进一步完善</w:t>
      </w:r>
      <w:r>
        <w:rPr>
          <w:rFonts w:ascii="仿宋_GB2312" w:eastAsia="仿宋_GB2312" w:hAnsi="仿宋_GB2312" w:cs="仿宋_GB2312" w:hint="eastAsia"/>
          <w:kern w:val="0"/>
          <w:sz w:val="32"/>
          <w:szCs w:val="32"/>
        </w:rPr>
        <w:t>“东丽商务”官方新浪微博和“东丽商务”官方微信公众号的平台建设</w:t>
      </w:r>
      <w:r>
        <w:rPr>
          <w:rFonts w:ascii="仿宋_GB2312" w:eastAsia="仿宋_GB2312" w:hAnsi="仿宋_GB2312" w:cs="仿宋_GB2312" w:hint="eastAsia"/>
          <w:sz w:val="32"/>
          <w:szCs w:val="32"/>
        </w:rPr>
        <w:t>，增强网上互动功能，提高我局信息发布、查询数量和质量，方便群众了解、监督商务工作。</w:t>
      </w:r>
    </w:p>
    <w:p w:rsidR="001C78D0" w:rsidRDefault="001C78D0" w:rsidP="001C78D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（三）进一步加大监督检查力度</w:t>
      </w:r>
    </w:p>
    <w:p w:rsidR="001C78D0" w:rsidRDefault="001C78D0" w:rsidP="001C78D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我局政务公开工作领导小组将定期或不定期对各科室政务公开情况进行检查，严格考核，并通报督查结果，以督促全局政务公开工作落实。</w:t>
      </w:r>
    </w:p>
    <w:p w:rsidR="001C78D0" w:rsidRDefault="001C78D0" w:rsidP="001C78D0">
      <w:pPr>
        <w:widowControl/>
        <w:shd w:val="clear" w:color="auto" w:fill="FFFFFF"/>
        <w:spacing w:after="240" w:line="580" w:lineRule="exact"/>
        <w:ind w:firstLine="480"/>
        <w:rPr>
          <w:rFonts w:ascii="黑体" w:eastAsia="黑体" w:hAnsi="宋体" w:cs="宋体"/>
          <w:bCs/>
          <w:kern w:val="0"/>
          <w:sz w:val="32"/>
          <w:szCs w:val="32"/>
        </w:rPr>
      </w:pPr>
      <w:r>
        <w:rPr>
          <w:rFonts w:ascii="黑体" w:eastAsia="黑体" w:hAnsi="宋体" w:cs="宋体" w:hint="eastAsia"/>
          <w:bCs/>
          <w:kern w:val="0"/>
          <w:sz w:val="32"/>
          <w:szCs w:val="32"/>
        </w:rPr>
        <w:t>六、其他需要报告的事项</w:t>
      </w:r>
    </w:p>
    <w:p w:rsidR="001C78D0" w:rsidRDefault="001C78D0" w:rsidP="001C78D0">
      <w:pPr>
        <w:spacing w:line="580" w:lineRule="exact"/>
        <w:ind w:right="210" w:firstLineChars="200" w:firstLine="640"/>
        <w:rPr>
          <w:rFonts w:ascii="仿宋_GB2312" w:eastAsia="仿宋_GB2312" w:hAnsi="Arial" w:cs="Arial"/>
          <w:sz w:val="32"/>
          <w:szCs w:val="32"/>
          <w:shd w:val="clear" w:color="auto" w:fill="FFFFFF"/>
        </w:rPr>
      </w:pPr>
      <w:r>
        <w:rPr>
          <w:rFonts w:ascii="仿宋_GB2312" w:eastAsia="仿宋_GB2312" w:hAnsi="仿宋_GB2312" w:cs="仿宋_GB2312" w:hint="eastAsia"/>
          <w:sz w:val="32"/>
          <w:szCs w:val="32"/>
        </w:rPr>
        <w:t>无其他需要报告的事项。</w:t>
      </w:r>
    </w:p>
    <w:p w:rsidR="001C78D0" w:rsidRDefault="001C78D0" w:rsidP="001C78D0">
      <w:pPr>
        <w:spacing w:line="560" w:lineRule="exact"/>
        <w:ind w:firstLineChars="200" w:firstLine="640"/>
        <w:rPr>
          <w:rFonts w:ascii="仿宋_GB2312" w:eastAsia="仿宋_GB2312" w:hAnsi="仿宋_GB2312" w:cs="仿宋_GB2312"/>
          <w:sz w:val="32"/>
          <w:szCs w:val="32"/>
        </w:rPr>
      </w:pPr>
    </w:p>
    <w:p w:rsidR="001C78D0" w:rsidRDefault="001C78D0" w:rsidP="001C78D0">
      <w:pPr>
        <w:spacing w:line="560" w:lineRule="exact"/>
        <w:ind w:firstLineChars="200" w:firstLine="640"/>
        <w:rPr>
          <w:rFonts w:ascii="仿宋_GB2312" w:eastAsia="仿宋_GB2312" w:hAnsi="仿宋_GB2312" w:cs="仿宋_GB2312"/>
          <w:sz w:val="32"/>
          <w:szCs w:val="32"/>
        </w:rPr>
      </w:pPr>
    </w:p>
    <w:p w:rsidR="001C78D0" w:rsidRDefault="001C78D0" w:rsidP="001C78D0">
      <w:pPr>
        <w:spacing w:line="560" w:lineRule="exact"/>
        <w:ind w:firstLineChars="200" w:firstLine="640"/>
        <w:rPr>
          <w:rFonts w:ascii="仿宋_GB2312" w:eastAsia="仿宋_GB2312" w:hAnsi="仿宋_GB2312" w:cs="仿宋_GB2312"/>
          <w:sz w:val="32"/>
          <w:szCs w:val="32"/>
        </w:rPr>
      </w:pPr>
    </w:p>
    <w:p w:rsidR="001C78D0" w:rsidRDefault="001C78D0" w:rsidP="001C78D0">
      <w:pPr>
        <w:spacing w:line="560" w:lineRule="exact"/>
        <w:ind w:firstLineChars="200" w:firstLine="640"/>
        <w:rPr>
          <w:rFonts w:ascii="仿宋_GB2312" w:eastAsia="仿宋_GB2312" w:hAnsi="仿宋_GB2312" w:cs="仿宋_GB2312"/>
          <w:sz w:val="32"/>
          <w:szCs w:val="32"/>
        </w:rPr>
      </w:pPr>
    </w:p>
    <w:p w:rsidR="001C78D0" w:rsidRDefault="001C78D0" w:rsidP="001C78D0">
      <w:pPr>
        <w:spacing w:line="560" w:lineRule="exact"/>
        <w:ind w:firstLineChars="200" w:firstLine="640"/>
        <w:rPr>
          <w:rFonts w:ascii="仿宋_GB2312" w:eastAsia="仿宋_GB2312" w:hAnsi="仿宋_GB2312" w:cs="仿宋_GB2312"/>
          <w:sz w:val="32"/>
          <w:szCs w:val="32"/>
        </w:rPr>
      </w:pPr>
    </w:p>
    <w:p w:rsidR="001C78D0" w:rsidRDefault="001C78D0" w:rsidP="001C78D0">
      <w:pPr>
        <w:spacing w:line="56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2020年2月28日</w:t>
      </w:r>
    </w:p>
    <w:p w:rsidR="00290CF7" w:rsidRDefault="00290CF7"/>
    <w:sectPr w:rsidR="00290CF7" w:rsidSect="00B362AF">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500" w:rsidRDefault="00275500" w:rsidP="00186BAF">
      <w:r>
        <w:separator/>
      </w:r>
    </w:p>
  </w:endnote>
  <w:endnote w:type="continuationSeparator" w:id="0">
    <w:p w:rsidR="00275500" w:rsidRDefault="00275500" w:rsidP="00186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AF" w:rsidRDefault="00186BAF">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B362AF" w:rsidRDefault="00186BAF">
                <w:pPr>
                  <w:pStyle w:val="a3"/>
                </w:pPr>
                <w:r>
                  <w:rPr>
                    <w:rFonts w:hint="eastAsia"/>
                  </w:rPr>
                  <w:fldChar w:fldCharType="begin"/>
                </w:r>
                <w:r w:rsidR="004D0ABF">
                  <w:rPr>
                    <w:rFonts w:hint="eastAsia"/>
                  </w:rPr>
                  <w:instrText xml:space="preserve"> PAGE  \* MERGEFORMAT </w:instrText>
                </w:r>
                <w:r>
                  <w:rPr>
                    <w:rFonts w:hint="eastAsia"/>
                  </w:rPr>
                  <w:fldChar w:fldCharType="separate"/>
                </w:r>
                <w:r w:rsidR="00EE4A08">
                  <w:rPr>
                    <w:noProof/>
                  </w:rPr>
                  <w:t>- 8 -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500" w:rsidRDefault="00275500" w:rsidP="00186BAF">
      <w:r>
        <w:separator/>
      </w:r>
    </w:p>
  </w:footnote>
  <w:footnote w:type="continuationSeparator" w:id="0">
    <w:p w:rsidR="00275500" w:rsidRDefault="00275500" w:rsidP="00186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8D0"/>
    <w:rsid w:val="00186BAF"/>
    <w:rsid w:val="001C78D0"/>
    <w:rsid w:val="001D2D56"/>
    <w:rsid w:val="00275500"/>
    <w:rsid w:val="00290CF7"/>
    <w:rsid w:val="004D0ABF"/>
    <w:rsid w:val="00EE4A08"/>
    <w:rsid w:val="00FA3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C78D0"/>
    <w:pPr>
      <w:tabs>
        <w:tab w:val="center" w:pos="4153"/>
        <w:tab w:val="right" w:pos="8306"/>
      </w:tabs>
      <w:snapToGrid w:val="0"/>
      <w:jc w:val="left"/>
    </w:pPr>
    <w:rPr>
      <w:sz w:val="18"/>
    </w:rPr>
  </w:style>
  <w:style w:type="character" w:customStyle="1" w:styleId="Char">
    <w:name w:val="页脚 Char"/>
    <w:basedOn w:val="a0"/>
    <w:link w:val="a3"/>
    <w:rsid w:val="001C78D0"/>
    <w:rPr>
      <w:rFonts w:ascii="Times New Roman" w:eastAsia="宋体" w:hAnsi="Times New Roman" w:cs="Times New Roman"/>
      <w:sz w:val="18"/>
      <w:szCs w:val="24"/>
    </w:rPr>
  </w:style>
  <w:style w:type="paragraph" w:styleId="a4">
    <w:name w:val="Normal (Web)"/>
    <w:basedOn w:val="a"/>
    <w:rsid w:val="001C78D0"/>
    <w:pPr>
      <w:spacing w:beforeAutospacing="1" w:afterAutospacing="1"/>
      <w:jc w:val="left"/>
    </w:pPr>
    <w:rPr>
      <w:kern w:val="0"/>
      <w:sz w:val="24"/>
    </w:rPr>
  </w:style>
  <w:style w:type="character" w:styleId="a5">
    <w:name w:val="Hyperlink"/>
    <w:basedOn w:val="a0"/>
    <w:rsid w:val="001C78D0"/>
    <w:rPr>
      <w:color w:val="0000FF"/>
      <w:u w:val="single"/>
    </w:rPr>
  </w:style>
  <w:style w:type="paragraph" w:customStyle="1" w:styleId="reader-word-layerreader-word-s1-7">
    <w:name w:val="reader-word-layer reader-word-s1-7"/>
    <w:basedOn w:val="a"/>
    <w:rsid w:val="001C78D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5ykj.com/Artic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ykj.com/Artic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政府办信息公开</dc:creator>
  <cp:lastModifiedBy>政府办信息公开</cp:lastModifiedBy>
  <cp:revision>2</cp:revision>
  <dcterms:created xsi:type="dcterms:W3CDTF">2020-03-04T03:20:00Z</dcterms:created>
  <dcterms:modified xsi:type="dcterms:W3CDTF">2020-03-04T07:57:00Z</dcterms:modified>
</cp:coreProperties>
</file>