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黑体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东丽区关于划定区管河湖管理范围公告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7" w:firstLineChars="16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为依法对河湖进行管护，确保河道行洪安全、水利工程安全和生态安全，促进区域社会经济稳定、协调、可持续发展。根据《中华人民共和国水法》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《中华人民共和国防洪法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》、《天津市河道管理条例》、《市河（湖）长办关于进一步推进依法划定河湖管理范围工作的通知》（津河长办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法律法规及文件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结合我区实际，现将划定东丽区区管河道、泵站、水库管理范围公告如下：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一、本次划定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河道、泵站、水库名单分别为：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西河、西减河、东河、津滨河、月西河、二线河、东减河、新地河；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泵站：新立泵站、西河泵站、中河泵站、东河泵站、袁家河第一、第二泵站、新地河泵站、南孙庄泵站；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水库：新地河水库（东湖）。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）河道划定范围</w:t>
      </w:r>
    </w:p>
    <w:tbl>
      <w:tblPr>
        <w:tblStyle w:val="6"/>
        <w:tblW w:w="8697" w:type="dxa"/>
        <w:tblInd w:w="-6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356"/>
        <w:gridCol w:w="1341"/>
        <w:gridCol w:w="39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河道名称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起点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终点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管理范围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（南段）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海河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西减河（南段）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机场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海河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西减河（北段）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金钟河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机场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津滨河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海河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津滨河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（南段）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东减河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月西河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外环河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西减河（北段）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二线河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东河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（南段）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东减河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西减河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海河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新地河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金钟河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东减河</w:t>
            </w:r>
          </w:p>
        </w:tc>
        <w:tc>
          <w:tcPr>
            <w:tcW w:w="3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现状上开口（河道蓝线）以外15米范围内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37" w:firstLineChars="16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（2）泵站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划定范围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；泵站现状院墙；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37" w:firstLineChars="16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划定范围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：新地河水库用地边界。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37" w:firstLineChars="168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本次划定河湖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范围工作，是对现状河道、水库及水利设施管理范围的明确，不涉及土地权属、性质、用地规划调整。河湖管理范围内建设项目需符合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《中华人民共和国水法》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《中华人民共和国防洪法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》、《天津市河道管理条例》等有关法律法规要求，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任何单位及个人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不得从事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行洪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和水利工程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安全的活动。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需要查阅划定成果的公民、法人或者其他组织，请与东丽区水务局规建科联系，联系电话022-24983321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6A4B"/>
    <w:rsid w:val="00175AA9"/>
    <w:rsid w:val="001F510C"/>
    <w:rsid w:val="11F81061"/>
    <w:rsid w:val="12B33D0A"/>
    <w:rsid w:val="23B3443C"/>
    <w:rsid w:val="27666B92"/>
    <w:rsid w:val="283A28D4"/>
    <w:rsid w:val="2AC307A5"/>
    <w:rsid w:val="2E2645B2"/>
    <w:rsid w:val="2E3211E1"/>
    <w:rsid w:val="497A5868"/>
    <w:rsid w:val="58963B54"/>
    <w:rsid w:val="591D5E38"/>
    <w:rsid w:val="78B36A4B"/>
    <w:rsid w:val="7F6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2020-10-09T02:19:00Z</dcterms:created>
  <dc:creator>达摩巫师</dc:creator>
  <cp:lastModifiedBy>ZKTJCN</cp:lastModifiedBy>
  <cp:lastPrinted>2020-10-13T08:01:00Z</cp:lastPrinted>
  <dcterms:modified xsi:type="dcterms:W3CDTF">2020-10-15T09:31:29Z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