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62" w:rsidRPr="00C23567" w:rsidRDefault="006E4262" w:rsidP="006E426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/>
          <w:color w:val="000000" w:themeColor="text1"/>
          <w:kern w:val="0"/>
          <w:sz w:val="40"/>
          <w:szCs w:val="36"/>
        </w:rPr>
      </w:pPr>
      <w:bookmarkStart w:id="0" w:name="_GoBack"/>
      <w:bookmarkEnd w:id="0"/>
      <w:r w:rsidRPr="00C23567">
        <w:rPr>
          <w:rFonts w:ascii="方正小标宋简体" w:eastAsia="方正小标宋简体" w:hAnsi="宋体" w:hint="eastAsia"/>
          <w:b/>
          <w:color w:val="000000" w:themeColor="text1"/>
          <w:kern w:val="0"/>
          <w:sz w:val="40"/>
          <w:szCs w:val="36"/>
        </w:rPr>
        <w:t>东丽区2018年国民经济和社会发展统计公报</w:t>
      </w:r>
    </w:p>
    <w:p w:rsidR="00A40A0B" w:rsidRPr="00A40A0B" w:rsidRDefault="006E4262" w:rsidP="00A40A0B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 w:rsidRPr="00A40A0B">
        <w:rPr>
          <w:rFonts w:ascii="仿宋_GB2312" w:eastAsia="仿宋_GB2312" w:hint="eastAsia"/>
          <w:color w:val="000000" w:themeColor="text1"/>
          <w:sz w:val="32"/>
          <w:szCs w:val="32"/>
        </w:rPr>
        <w:t>2018年面对</w:t>
      </w:r>
      <w:r w:rsidR="006E4BA9">
        <w:rPr>
          <w:rFonts w:ascii="仿宋_GB2312" w:eastAsia="仿宋_GB2312" w:hint="eastAsia"/>
          <w:color w:val="000000" w:themeColor="text1"/>
          <w:sz w:val="32"/>
          <w:szCs w:val="32"/>
        </w:rPr>
        <w:t>复杂</w:t>
      </w:r>
      <w:r w:rsidR="006E4BA9">
        <w:rPr>
          <w:rFonts w:ascii="仿宋_GB2312" w:eastAsia="仿宋_GB2312"/>
          <w:color w:val="000000" w:themeColor="text1"/>
          <w:sz w:val="32"/>
          <w:szCs w:val="32"/>
        </w:rPr>
        <w:t>经济形势</w:t>
      </w:r>
      <w:r w:rsidRPr="00A40A0B">
        <w:rPr>
          <w:rFonts w:ascii="仿宋_GB2312" w:eastAsia="仿宋_GB2312" w:hint="eastAsia"/>
          <w:color w:val="000000" w:themeColor="text1"/>
          <w:sz w:val="32"/>
          <w:szCs w:val="32"/>
        </w:rPr>
        <w:t>，全区上下坚持以习近平新时代中国特色社会主义思想为指导，</w:t>
      </w:r>
      <w:r w:rsidR="009647D2" w:rsidRPr="00A40A0B">
        <w:rPr>
          <w:rFonts w:ascii="仿宋_GB2312" w:eastAsia="仿宋_GB2312" w:hint="eastAsia"/>
          <w:color w:val="000000" w:themeColor="text1"/>
          <w:sz w:val="32"/>
          <w:szCs w:val="32"/>
        </w:rPr>
        <w:t>以</w:t>
      </w:r>
      <w:r w:rsidR="009647D2" w:rsidRPr="00A40A0B">
        <w:rPr>
          <w:rFonts w:ascii="仿宋_GB2312" w:eastAsia="仿宋_GB2312"/>
          <w:color w:val="000000" w:themeColor="text1"/>
          <w:sz w:val="32"/>
          <w:szCs w:val="32"/>
        </w:rPr>
        <w:t>“</w:t>
      </w:r>
      <w:r w:rsidR="009647D2" w:rsidRPr="00A40A0B">
        <w:rPr>
          <w:rFonts w:ascii="仿宋_GB2312" w:eastAsia="仿宋_GB2312" w:hint="eastAsia"/>
          <w:color w:val="000000" w:themeColor="text1"/>
          <w:sz w:val="32"/>
          <w:szCs w:val="32"/>
        </w:rPr>
        <w:t>三个着力</w:t>
      </w:r>
      <w:r w:rsidR="009647D2" w:rsidRPr="00A40A0B">
        <w:rPr>
          <w:rFonts w:ascii="仿宋_GB2312" w:eastAsia="仿宋_GB2312"/>
          <w:color w:val="000000" w:themeColor="text1"/>
          <w:sz w:val="32"/>
          <w:szCs w:val="32"/>
        </w:rPr>
        <w:t>”</w:t>
      </w:r>
      <w:r w:rsidR="009647D2" w:rsidRPr="00A40A0B">
        <w:rPr>
          <w:rFonts w:ascii="仿宋_GB2312" w:eastAsia="仿宋_GB2312" w:hint="eastAsia"/>
          <w:color w:val="000000" w:themeColor="text1"/>
          <w:sz w:val="32"/>
          <w:szCs w:val="32"/>
        </w:rPr>
        <w:t>为元为纲</w:t>
      </w:r>
      <w:r w:rsidR="009647D2" w:rsidRPr="00A40A0B">
        <w:rPr>
          <w:rFonts w:ascii="仿宋_GB2312" w:eastAsia="仿宋_GB2312"/>
          <w:color w:val="000000" w:themeColor="text1"/>
          <w:sz w:val="32"/>
          <w:szCs w:val="32"/>
        </w:rPr>
        <w:t>，</w:t>
      </w:r>
      <w:r w:rsidR="009647D2" w:rsidRPr="00A40A0B">
        <w:rPr>
          <w:rFonts w:ascii="仿宋_GB2312" w:eastAsia="仿宋_GB2312" w:hint="eastAsia"/>
          <w:color w:val="000000" w:themeColor="text1"/>
          <w:sz w:val="32"/>
          <w:szCs w:val="32"/>
        </w:rPr>
        <w:t>深入</w:t>
      </w:r>
      <w:r w:rsidRPr="00A40A0B">
        <w:rPr>
          <w:rFonts w:ascii="仿宋_GB2312" w:eastAsia="仿宋_GB2312" w:hint="eastAsia"/>
          <w:color w:val="000000" w:themeColor="text1"/>
          <w:sz w:val="32"/>
          <w:szCs w:val="32"/>
        </w:rPr>
        <w:t>贯彻落实党的十九大精神，坚持稳中求进工作总基调，着力推进质量变革、效率变革和动力变革，实现经济企稳回升、结构优化、效益改善的绿色高质量发展。</w:t>
      </w:r>
    </w:p>
    <w:p w:rsidR="006E4262" w:rsidRPr="00A40A0B" w:rsidRDefault="006E4262" w:rsidP="00A40A0B">
      <w:pPr>
        <w:spacing w:line="560" w:lineRule="exact"/>
        <w:ind w:firstLineChars="200" w:firstLine="643"/>
        <w:rPr>
          <w:rFonts w:ascii="黑体" w:eastAsia="黑体" w:hAnsi="黑体"/>
          <w:snapToGrid w:val="0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b/>
          <w:color w:val="000000" w:themeColor="text1"/>
          <w:sz w:val="32"/>
          <w:szCs w:val="32"/>
        </w:rPr>
        <w:t>一、综合</w:t>
      </w:r>
    </w:p>
    <w:p w:rsidR="006E4262" w:rsidRPr="00A40A0B" w:rsidRDefault="006E4262" w:rsidP="006E426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40A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2018年</w:t>
      </w:r>
      <w:r w:rsidR="009647D2" w:rsidRPr="00A40A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A40A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全区实现生产总值967.68亿元，按可比价格计算，</w:t>
      </w:r>
      <w:r w:rsidR="009647D2" w:rsidRPr="00A40A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比上年</w:t>
      </w:r>
      <w:r w:rsidRPr="00A40A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增长2.0%。其中，第一产业增加值3.53亿元，下降2.8%；第二产业增加值439.99亿元，下降3.4%；第三产业增加值524.16亿元，增长8.6%。</w:t>
      </w:r>
      <w:r w:rsidRPr="00A40A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三次产业</w:t>
      </w:r>
      <w:r w:rsidR="009647D2" w:rsidRPr="00A40A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结构</w:t>
      </w:r>
      <w:r w:rsidRPr="00A40A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为0.3:45.5:54.2。</w:t>
      </w:r>
    </w:p>
    <w:p w:rsidR="006E4262" w:rsidRPr="000678CA" w:rsidRDefault="006E4262" w:rsidP="006E4262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noProof/>
          <w:kern w:val="0"/>
          <w:sz w:val="32"/>
          <w:szCs w:val="32"/>
        </w:rPr>
        <w:drawing>
          <wp:inline distT="0" distB="0" distL="0" distR="0" wp14:anchorId="1C3146E5" wp14:editId="297975F7">
            <wp:extent cx="4892040" cy="2827020"/>
            <wp:effectExtent l="0" t="0" r="381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4262" w:rsidRPr="00363855" w:rsidRDefault="006E4262" w:rsidP="006E4262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b/>
          <w:kern w:val="0"/>
          <w:sz w:val="28"/>
          <w:szCs w:val="28"/>
        </w:rPr>
      </w:pPr>
      <w:r w:rsidRPr="00363855">
        <w:rPr>
          <w:rFonts w:ascii="仿宋_GB2312" w:eastAsia="仿宋_GB2312" w:hAnsi="仿宋" w:hint="eastAsia"/>
          <w:b/>
          <w:kern w:val="0"/>
          <w:sz w:val="28"/>
          <w:szCs w:val="28"/>
        </w:rPr>
        <w:t>图1：201</w:t>
      </w:r>
      <w:r>
        <w:rPr>
          <w:rFonts w:ascii="仿宋_GB2312" w:eastAsia="仿宋_GB2312" w:hAnsi="仿宋"/>
          <w:b/>
          <w:kern w:val="0"/>
          <w:sz w:val="28"/>
          <w:szCs w:val="28"/>
        </w:rPr>
        <w:t>4</w:t>
      </w:r>
      <w:r w:rsidRPr="00363855">
        <w:rPr>
          <w:rFonts w:ascii="仿宋_GB2312" w:eastAsia="仿宋_GB2312" w:hAnsi="仿宋" w:hint="eastAsia"/>
          <w:b/>
          <w:kern w:val="0"/>
          <w:sz w:val="28"/>
          <w:szCs w:val="28"/>
        </w:rPr>
        <w:t>-201</w:t>
      </w:r>
      <w:r>
        <w:rPr>
          <w:rFonts w:ascii="仿宋_GB2312" w:eastAsia="仿宋_GB2312" w:hAnsi="仿宋"/>
          <w:b/>
          <w:kern w:val="0"/>
          <w:sz w:val="28"/>
          <w:szCs w:val="28"/>
        </w:rPr>
        <w:t>8</w:t>
      </w:r>
      <w:r w:rsidRPr="00363855">
        <w:rPr>
          <w:rFonts w:ascii="仿宋_GB2312" w:eastAsia="仿宋_GB2312" w:hAnsi="仿宋" w:hint="eastAsia"/>
          <w:b/>
          <w:kern w:val="0"/>
          <w:sz w:val="28"/>
          <w:szCs w:val="28"/>
        </w:rPr>
        <w:t>年</w:t>
      </w:r>
      <w:r w:rsidRPr="00363855">
        <w:rPr>
          <w:rFonts w:ascii="仿宋_GB2312" w:eastAsia="仿宋_GB2312" w:hAnsi="仿宋"/>
          <w:b/>
          <w:kern w:val="0"/>
          <w:sz w:val="28"/>
          <w:szCs w:val="28"/>
        </w:rPr>
        <w:t>东丽</w:t>
      </w:r>
      <w:r w:rsidRPr="00363855">
        <w:rPr>
          <w:rFonts w:ascii="仿宋_GB2312" w:eastAsia="仿宋_GB2312" w:hAnsi="仿宋" w:hint="eastAsia"/>
          <w:b/>
          <w:kern w:val="0"/>
          <w:sz w:val="28"/>
          <w:szCs w:val="28"/>
        </w:rPr>
        <w:t>区生产总值（亿元）</w:t>
      </w:r>
    </w:p>
    <w:p w:rsidR="006E4262" w:rsidRPr="003A7D39" w:rsidRDefault="006E4262" w:rsidP="009647D2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3A7D39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财政收入</w:t>
      </w:r>
      <w:r w:rsidR="006E4BA9" w:rsidRPr="006E4BA9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小幅下降</w:t>
      </w:r>
      <w:r w:rsidRPr="003A7D39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。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全年一般公共预算收入61.2亿元。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其中，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税收收入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50.4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亿元，比</w:t>
      </w:r>
      <w:r w:rsidR="00917673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上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年下降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2.7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占一般公共预算收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入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的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81.7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%。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从主体税种看，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增值税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14.2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亿元，下降3.5%；企业所得税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9.1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亿元，下降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5.0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%；个人所得税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1.5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亿元，增长</w:t>
      </w:r>
      <w:r w:rsidRPr="003A7D39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12.1</w:t>
      </w:r>
      <w:r w:rsidRPr="003A7D3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%。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全年一般公共预算支出</w:t>
      </w:r>
      <w:r w:rsidRPr="003A7D39">
        <w:rPr>
          <w:rFonts w:ascii="仿宋_GB2312" w:eastAsia="仿宋_GB2312" w:hAnsi="仿宋"/>
          <w:color w:val="000000" w:themeColor="text1"/>
          <w:sz w:val="32"/>
          <w:szCs w:val="32"/>
        </w:rPr>
        <w:t>86.7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亿元，其中城乡社区事务支出</w:t>
      </w:r>
      <w:r w:rsidRPr="003A7D39">
        <w:rPr>
          <w:rFonts w:ascii="仿宋_GB2312" w:eastAsia="仿宋_GB2312" w:hAnsi="仿宋"/>
          <w:color w:val="000000" w:themeColor="text1"/>
          <w:sz w:val="32"/>
          <w:szCs w:val="32"/>
        </w:rPr>
        <w:t>23.7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亿元，教育支出</w:t>
      </w:r>
      <w:r w:rsidRPr="003A7D39">
        <w:rPr>
          <w:rFonts w:ascii="仿宋_GB2312" w:eastAsia="仿宋_GB2312" w:hAnsi="仿宋"/>
          <w:color w:val="000000" w:themeColor="text1"/>
          <w:sz w:val="32"/>
          <w:szCs w:val="32"/>
        </w:rPr>
        <w:t>14.1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亿元，社会保障和就业支出</w:t>
      </w:r>
      <w:r w:rsidRPr="003A7D39">
        <w:rPr>
          <w:rFonts w:ascii="仿宋_GB2312" w:eastAsia="仿宋_GB2312" w:hAnsi="仿宋"/>
          <w:color w:val="000000" w:themeColor="text1"/>
          <w:sz w:val="32"/>
          <w:szCs w:val="32"/>
        </w:rPr>
        <w:t>12.9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亿元，医疗卫生支出</w:t>
      </w:r>
      <w:r w:rsidRPr="003A7D39">
        <w:rPr>
          <w:rFonts w:ascii="仿宋_GB2312" w:eastAsia="仿宋_GB2312" w:hAnsi="仿宋"/>
          <w:color w:val="000000" w:themeColor="text1"/>
          <w:sz w:val="32"/>
          <w:szCs w:val="32"/>
        </w:rPr>
        <w:t>6.5</w:t>
      </w:r>
      <w:r w:rsidRPr="003A7D39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亿元。</w:t>
      </w:r>
    </w:p>
    <w:p w:rsidR="00662DE1" w:rsidRDefault="00662DE1" w:rsidP="00662DE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E4BA9">
        <w:rPr>
          <w:rFonts w:ascii="仿宋_GB2312" w:eastAsia="仿宋_GB2312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587E93" wp14:editId="78FCC283">
            <wp:simplePos x="0" y="0"/>
            <wp:positionH relativeFrom="column">
              <wp:posOffset>635</wp:posOffset>
            </wp:positionH>
            <wp:positionV relativeFrom="paragraph">
              <wp:posOffset>1704431</wp:posOffset>
            </wp:positionV>
            <wp:extent cx="5425440" cy="2568575"/>
            <wp:effectExtent l="0" t="0" r="3810" b="3175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BA9">
        <w:rPr>
          <w:rFonts w:ascii="仿宋_GB2312" w:eastAsia="仿宋_GB2312" w:hint="eastAsia"/>
          <w:b/>
          <w:sz w:val="32"/>
          <w:szCs w:val="32"/>
        </w:rPr>
        <w:t>经济结构</w:t>
      </w:r>
      <w:r w:rsidRPr="006E4BA9">
        <w:rPr>
          <w:rFonts w:ascii="仿宋_GB2312" w:eastAsia="仿宋_GB2312"/>
          <w:b/>
          <w:sz w:val="32"/>
          <w:szCs w:val="32"/>
        </w:rPr>
        <w:t>持续优化。</w:t>
      </w:r>
      <w:r w:rsidRPr="006E4BA9">
        <w:rPr>
          <w:rFonts w:ascii="仿宋_GB2312" w:eastAsia="仿宋_GB2312" w:hint="eastAsia"/>
          <w:sz w:val="32"/>
          <w:szCs w:val="32"/>
        </w:rPr>
        <w:t>第三产业支撑</w:t>
      </w:r>
      <w:r w:rsidRPr="006E4BA9">
        <w:rPr>
          <w:rFonts w:ascii="仿宋_GB2312" w:eastAsia="仿宋_GB2312"/>
          <w:sz w:val="32"/>
          <w:szCs w:val="32"/>
        </w:rPr>
        <w:t>作用进一步加大，三产</w:t>
      </w:r>
      <w:r w:rsidRPr="006E4BA9">
        <w:rPr>
          <w:rFonts w:ascii="仿宋_GB2312" w:eastAsia="仿宋_GB2312" w:hint="eastAsia"/>
          <w:sz w:val="32"/>
          <w:szCs w:val="32"/>
        </w:rPr>
        <w:t>占比达到54.2</w:t>
      </w:r>
      <w:r w:rsidRPr="006E4BA9">
        <w:rPr>
          <w:rFonts w:ascii="仿宋_GB2312" w:eastAsia="仿宋_GB2312"/>
          <w:sz w:val="32"/>
          <w:szCs w:val="32"/>
        </w:rPr>
        <w:t>%，</w:t>
      </w:r>
      <w:r w:rsidRPr="006E4BA9">
        <w:rPr>
          <w:rFonts w:ascii="仿宋_GB2312" w:eastAsia="仿宋_GB2312" w:hint="eastAsia"/>
          <w:sz w:val="32"/>
          <w:szCs w:val="32"/>
        </w:rPr>
        <w:t>比</w:t>
      </w:r>
      <w:r w:rsidRPr="006E4BA9">
        <w:rPr>
          <w:rFonts w:ascii="仿宋_GB2312" w:eastAsia="仿宋_GB2312"/>
          <w:sz w:val="32"/>
          <w:szCs w:val="32"/>
        </w:rPr>
        <w:t>上年提高</w:t>
      </w:r>
      <w:r w:rsidRPr="006E4BA9">
        <w:rPr>
          <w:rFonts w:ascii="仿宋_GB2312" w:eastAsia="仿宋_GB2312" w:hint="eastAsia"/>
          <w:sz w:val="32"/>
          <w:szCs w:val="32"/>
        </w:rPr>
        <w:t>6.8个</w:t>
      </w:r>
      <w:r w:rsidRPr="006E4BA9">
        <w:rPr>
          <w:rFonts w:ascii="仿宋_GB2312" w:eastAsia="仿宋_GB2312"/>
          <w:sz w:val="32"/>
          <w:szCs w:val="32"/>
        </w:rPr>
        <w:t>百分点</w:t>
      </w:r>
      <w:r w:rsidRPr="006E4BA9">
        <w:rPr>
          <w:rFonts w:ascii="仿宋_GB2312" w:eastAsia="仿宋_GB2312" w:hint="eastAsia"/>
          <w:sz w:val="32"/>
          <w:szCs w:val="32"/>
        </w:rPr>
        <w:t>、比二产</w:t>
      </w:r>
      <w:r w:rsidRPr="006E4BA9">
        <w:rPr>
          <w:rFonts w:ascii="仿宋_GB2312" w:eastAsia="仿宋_GB2312"/>
          <w:sz w:val="32"/>
          <w:szCs w:val="32"/>
        </w:rPr>
        <w:t>高</w:t>
      </w:r>
      <w:r w:rsidRPr="006E4BA9">
        <w:rPr>
          <w:rFonts w:ascii="仿宋_GB2312" w:eastAsia="仿宋_GB2312" w:hint="eastAsia"/>
          <w:sz w:val="32"/>
          <w:szCs w:val="32"/>
        </w:rPr>
        <w:t>8.7个</w:t>
      </w:r>
      <w:r w:rsidRPr="006E4BA9">
        <w:rPr>
          <w:rFonts w:ascii="仿宋_GB2312" w:eastAsia="仿宋_GB2312"/>
          <w:sz w:val="32"/>
          <w:szCs w:val="32"/>
        </w:rPr>
        <w:t>百分点，</w:t>
      </w:r>
      <w:r w:rsidRPr="006E4BA9">
        <w:rPr>
          <w:rFonts w:ascii="仿宋_GB2312" w:eastAsia="仿宋_GB2312" w:hint="eastAsia"/>
          <w:sz w:val="32"/>
          <w:szCs w:val="32"/>
        </w:rPr>
        <w:t>年度</w:t>
      </w:r>
      <w:r w:rsidRPr="006E4BA9">
        <w:rPr>
          <w:rFonts w:ascii="仿宋_GB2312" w:eastAsia="仿宋_GB2312"/>
          <w:sz w:val="32"/>
          <w:szCs w:val="32"/>
        </w:rPr>
        <w:t>比重首次超过</w:t>
      </w:r>
      <w:r w:rsidRPr="006E4BA9">
        <w:rPr>
          <w:rFonts w:ascii="仿宋_GB2312" w:eastAsia="仿宋_GB2312" w:hint="eastAsia"/>
          <w:sz w:val="32"/>
          <w:szCs w:val="32"/>
        </w:rPr>
        <w:t>50</w:t>
      </w:r>
      <w:r w:rsidRPr="006E4BA9">
        <w:rPr>
          <w:rFonts w:ascii="仿宋_GB2312" w:eastAsia="仿宋_GB2312"/>
          <w:sz w:val="32"/>
          <w:szCs w:val="32"/>
        </w:rPr>
        <w:t>%</w:t>
      </w:r>
      <w:r w:rsidRPr="006E4BA9">
        <w:rPr>
          <w:rFonts w:ascii="仿宋_GB2312" w:eastAsia="仿宋_GB2312" w:hint="eastAsia"/>
          <w:sz w:val="32"/>
          <w:szCs w:val="32"/>
        </w:rPr>
        <w:t>、首次</w:t>
      </w:r>
      <w:r w:rsidRPr="006E4BA9">
        <w:rPr>
          <w:rFonts w:ascii="仿宋_GB2312" w:eastAsia="仿宋_GB2312"/>
          <w:sz w:val="32"/>
          <w:szCs w:val="32"/>
        </w:rPr>
        <w:t>超过二产，拉动全区</w:t>
      </w:r>
      <w:r w:rsidRPr="006E4BA9">
        <w:rPr>
          <w:rFonts w:ascii="仿宋_GB2312" w:eastAsia="仿宋_GB2312" w:hint="eastAsia"/>
          <w:sz w:val="32"/>
          <w:szCs w:val="32"/>
        </w:rPr>
        <w:t>GDP提高2.85个</w:t>
      </w:r>
      <w:r w:rsidRPr="006E4BA9">
        <w:rPr>
          <w:rFonts w:ascii="仿宋_GB2312" w:eastAsia="仿宋_GB2312"/>
          <w:sz w:val="32"/>
          <w:szCs w:val="32"/>
        </w:rPr>
        <w:t>百分点</w:t>
      </w:r>
      <w:r w:rsidRPr="006E4BA9">
        <w:rPr>
          <w:rFonts w:ascii="仿宋_GB2312" w:eastAsia="仿宋_GB2312" w:hint="eastAsia"/>
          <w:sz w:val="32"/>
          <w:szCs w:val="32"/>
        </w:rPr>
        <w:t>，</w:t>
      </w:r>
      <w:r w:rsidRPr="006E4BA9">
        <w:rPr>
          <w:rFonts w:ascii="仿宋_GB2312" w:eastAsia="仿宋_GB2312"/>
          <w:sz w:val="32"/>
          <w:szCs w:val="32"/>
        </w:rPr>
        <w:t>是</w:t>
      </w:r>
      <w:r w:rsidRPr="006E4BA9">
        <w:rPr>
          <w:rFonts w:ascii="仿宋_GB2312" w:eastAsia="仿宋_GB2312" w:hint="eastAsia"/>
          <w:sz w:val="32"/>
          <w:szCs w:val="32"/>
        </w:rPr>
        <w:t>全区GDP</w:t>
      </w:r>
      <w:r w:rsidR="006E4BA9" w:rsidRPr="006E4BA9">
        <w:rPr>
          <w:rFonts w:ascii="仿宋_GB2312" w:eastAsia="仿宋_GB2312" w:hint="eastAsia"/>
          <w:sz w:val="32"/>
          <w:szCs w:val="32"/>
        </w:rPr>
        <w:t>增长</w:t>
      </w:r>
      <w:r w:rsidRPr="006E4BA9">
        <w:rPr>
          <w:rFonts w:ascii="仿宋_GB2312" w:eastAsia="仿宋_GB2312" w:hint="eastAsia"/>
          <w:sz w:val="32"/>
          <w:szCs w:val="32"/>
        </w:rPr>
        <w:t>的</w:t>
      </w:r>
      <w:r w:rsidR="006E4BA9" w:rsidRPr="006E4BA9">
        <w:rPr>
          <w:rFonts w:ascii="仿宋_GB2312" w:eastAsia="仿宋_GB2312" w:hint="eastAsia"/>
          <w:sz w:val="32"/>
          <w:szCs w:val="32"/>
        </w:rPr>
        <w:t>主要</w:t>
      </w:r>
      <w:r w:rsidR="00BE71B6" w:rsidRPr="006E4BA9">
        <w:rPr>
          <w:rFonts w:ascii="仿宋_GB2312" w:eastAsia="仿宋_GB2312" w:hint="eastAsia"/>
          <w:sz w:val="32"/>
          <w:szCs w:val="32"/>
        </w:rPr>
        <w:t>动力</w:t>
      </w:r>
      <w:r w:rsidRPr="006E4BA9">
        <w:rPr>
          <w:rFonts w:ascii="仿宋_GB2312" w:eastAsia="仿宋_GB2312" w:hint="eastAsia"/>
          <w:sz w:val="32"/>
          <w:szCs w:val="32"/>
        </w:rPr>
        <w:t>。</w:t>
      </w:r>
    </w:p>
    <w:p w:rsidR="006E4262" w:rsidRPr="00FD2D06" w:rsidRDefault="006E4262" w:rsidP="006E4262">
      <w:pPr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32"/>
          <w:szCs w:val="32"/>
        </w:rPr>
      </w:pPr>
      <w:r w:rsidRPr="00FD2D06">
        <w:rPr>
          <w:rFonts w:ascii="仿宋_GB2312" w:eastAsia="仿宋_GB2312" w:hAnsi="仿宋" w:hint="eastAsia"/>
          <w:b/>
          <w:sz w:val="32"/>
          <w:szCs w:val="32"/>
        </w:rPr>
        <w:t>节能降耗成效明显。</w:t>
      </w:r>
      <w:r w:rsidRPr="00FD2D06">
        <w:rPr>
          <w:rFonts w:ascii="仿宋_GB2312" w:eastAsia="仿宋_GB2312" w:hAnsi="仿宋" w:hint="eastAsia"/>
          <w:sz w:val="32"/>
          <w:szCs w:val="32"/>
        </w:rPr>
        <w:t>全年单位</w:t>
      </w:r>
      <w:r w:rsidR="00C23567" w:rsidRPr="00FD2D06">
        <w:rPr>
          <w:rFonts w:ascii="仿宋_GB2312" w:eastAsia="仿宋_GB2312" w:hAnsi="仿宋" w:hint="eastAsia"/>
          <w:sz w:val="32"/>
          <w:szCs w:val="32"/>
        </w:rPr>
        <w:t>万元</w:t>
      </w:r>
      <w:r w:rsidRPr="00FD2D06">
        <w:rPr>
          <w:rFonts w:ascii="仿宋_GB2312" w:eastAsia="仿宋_GB2312" w:hAnsi="仿宋" w:hint="eastAsia"/>
          <w:sz w:val="32"/>
          <w:szCs w:val="32"/>
        </w:rPr>
        <w:t>GDP能耗比上年下降</w:t>
      </w:r>
      <w:r w:rsidR="006E4BA9">
        <w:rPr>
          <w:rFonts w:ascii="仿宋_GB2312" w:eastAsia="仿宋_GB2312" w:hAnsi="仿宋"/>
          <w:sz w:val="32"/>
          <w:szCs w:val="32"/>
        </w:rPr>
        <w:t>7.6</w:t>
      </w:r>
      <w:r w:rsidRPr="00FD2D06">
        <w:rPr>
          <w:rFonts w:ascii="仿宋_GB2312" w:eastAsia="仿宋_GB2312" w:hAnsi="仿宋" w:hint="eastAsia"/>
          <w:sz w:val="32"/>
          <w:szCs w:val="32"/>
        </w:rPr>
        <w:t>%</w:t>
      </w:r>
      <w:r w:rsidR="00C23567" w:rsidRPr="00FD2D06">
        <w:rPr>
          <w:rFonts w:ascii="仿宋_GB2312" w:eastAsia="仿宋_GB2312" w:hAnsi="仿宋" w:hint="eastAsia"/>
          <w:sz w:val="32"/>
          <w:szCs w:val="32"/>
        </w:rPr>
        <w:t>，</w:t>
      </w:r>
      <w:r w:rsidR="00C23567" w:rsidRPr="00FD2D06">
        <w:rPr>
          <w:rFonts w:ascii="仿宋_GB2312" w:eastAsia="仿宋_GB2312" w:hAnsi="仿宋"/>
          <w:sz w:val="32"/>
          <w:szCs w:val="32"/>
        </w:rPr>
        <w:t>全市排名第一</w:t>
      </w:r>
      <w:r w:rsidRPr="00FD2D06">
        <w:rPr>
          <w:rFonts w:ascii="仿宋_GB2312" w:eastAsia="仿宋_GB2312" w:hAnsi="仿宋" w:hint="eastAsia"/>
          <w:sz w:val="32"/>
          <w:szCs w:val="32"/>
        </w:rPr>
        <w:t>;规上工业综合能源消费量完成</w:t>
      </w:r>
      <w:r w:rsidR="00BD0A16" w:rsidRPr="00FD2D06">
        <w:rPr>
          <w:rFonts w:ascii="仿宋_GB2312" w:eastAsia="仿宋_GB2312" w:hAnsi="仿宋"/>
          <w:sz w:val="32"/>
          <w:szCs w:val="32"/>
        </w:rPr>
        <w:t>410.18</w:t>
      </w:r>
      <w:r w:rsidRPr="00FD2D06">
        <w:rPr>
          <w:rFonts w:ascii="仿宋_GB2312" w:eastAsia="仿宋_GB2312" w:hAnsi="仿宋" w:hint="eastAsia"/>
          <w:sz w:val="32"/>
          <w:szCs w:val="32"/>
        </w:rPr>
        <w:t>万吨标准煤，比上年下降</w:t>
      </w:r>
      <w:r w:rsidR="00F66C47" w:rsidRPr="00F66C47">
        <w:rPr>
          <w:rFonts w:ascii="仿宋_GB2312" w:eastAsia="仿宋_GB2312" w:hAnsi="仿宋"/>
          <w:sz w:val="32"/>
          <w:szCs w:val="32"/>
        </w:rPr>
        <w:t>13.4</w:t>
      </w:r>
      <w:r w:rsidRPr="00F66C47">
        <w:rPr>
          <w:rFonts w:ascii="仿宋_GB2312" w:eastAsia="仿宋_GB2312" w:hAnsi="仿宋" w:hint="eastAsia"/>
          <w:sz w:val="32"/>
          <w:szCs w:val="32"/>
        </w:rPr>
        <w:t>%。</w:t>
      </w:r>
    </w:p>
    <w:p w:rsidR="006E4262" w:rsidRPr="000678CA" w:rsidRDefault="006E4262" w:rsidP="00BD0A16">
      <w:pPr>
        <w:adjustRightInd w:val="0"/>
        <w:snapToGrid w:val="0"/>
        <w:spacing w:line="360" w:lineRule="auto"/>
        <w:ind w:firstLine="560"/>
        <w:jc w:val="center"/>
        <w:rPr>
          <w:rFonts w:ascii="仿宋_GB2312" w:eastAsia="仿宋_GB2312" w:hAnsi="宋体"/>
          <w:color w:val="FF0000"/>
          <w:sz w:val="32"/>
          <w:szCs w:val="32"/>
        </w:rPr>
      </w:pPr>
      <w:r w:rsidRPr="000678CA">
        <w:rPr>
          <w:rFonts w:ascii="仿宋_GB2312" w:eastAsia="仿宋_GB2312" w:hAnsi="宋体" w:hint="eastAsia"/>
          <w:b/>
          <w:noProof/>
          <w:color w:val="FF0000"/>
          <w:sz w:val="32"/>
          <w:szCs w:val="32"/>
        </w:rPr>
        <w:lastRenderedPageBreak/>
        <w:drawing>
          <wp:inline distT="0" distB="0" distL="0" distR="0" wp14:anchorId="33AF561B" wp14:editId="68870753">
            <wp:extent cx="5276850" cy="2659380"/>
            <wp:effectExtent l="0" t="0" r="0" b="762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4262" w:rsidRPr="00363855" w:rsidRDefault="006E4262" w:rsidP="006E4262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363855">
        <w:rPr>
          <w:rFonts w:ascii="仿宋_GB2312" w:eastAsia="仿宋_GB2312" w:hAnsi="宋体" w:hint="eastAsia"/>
          <w:b/>
          <w:sz w:val="28"/>
          <w:szCs w:val="28"/>
        </w:rPr>
        <w:t>图</w:t>
      </w:r>
      <w:r w:rsidR="0073170F">
        <w:rPr>
          <w:rFonts w:ascii="仿宋_GB2312" w:eastAsia="仿宋_GB2312" w:hAnsi="宋体"/>
          <w:b/>
          <w:sz w:val="28"/>
          <w:szCs w:val="28"/>
        </w:rPr>
        <w:t>3</w:t>
      </w:r>
      <w:r w:rsidRPr="00363855">
        <w:rPr>
          <w:rFonts w:ascii="仿宋_GB2312" w:eastAsia="仿宋_GB2312" w:hAnsi="宋体" w:hint="eastAsia"/>
          <w:b/>
          <w:sz w:val="28"/>
          <w:szCs w:val="28"/>
        </w:rPr>
        <w:t>：201</w:t>
      </w:r>
      <w:r w:rsidR="00014783">
        <w:rPr>
          <w:rFonts w:ascii="仿宋_GB2312" w:eastAsia="仿宋_GB2312" w:hAnsi="宋体"/>
          <w:b/>
          <w:sz w:val="28"/>
          <w:szCs w:val="28"/>
        </w:rPr>
        <w:t>4</w:t>
      </w:r>
      <w:r w:rsidRPr="00363855">
        <w:rPr>
          <w:rFonts w:ascii="仿宋_GB2312" w:eastAsia="仿宋_GB2312" w:hAnsi="宋体" w:hint="eastAsia"/>
          <w:b/>
          <w:sz w:val="28"/>
          <w:szCs w:val="28"/>
        </w:rPr>
        <w:t>-201</w:t>
      </w:r>
      <w:r w:rsidR="00014783">
        <w:rPr>
          <w:rFonts w:ascii="仿宋_GB2312" w:eastAsia="仿宋_GB2312" w:hAnsi="宋体"/>
          <w:b/>
          <w:sz w:val="28"/>
          <w:szCs w:val="28"/>
        </w:rPr>
        <w:t>8</w:t>
      </w:r>
      <w:r w:rsidRPr="00363855">
        <w:rPr>
          <w:rFonts w:ascii="仿宋_GB2312" w:eastAsia="仿宋_GB2312" w:hAnsi="宋体" w:hint="eastAsia"/>
          <w:b/>
          <w:sz w:val="28"/>
          <w:szCs w:val="28"/>
        </w:rPr>
        <w:t>年</w:t>
      </w:r>
      <w:r w:rsidRPr="00363855">
        <w:rPr>
          <w:rFonts w:ascii="仿宋_GB2312" w:eastAsia="仿宋_GB2312" w:hAnsi="宋体"/>
          <w:b/>
          <w:sz w:val="28"/>
          <w:szCs w:val="28"/>
        </w:rPr>
        <w:t>东丽区</w:t>
      </w:r>
      <w:r w:rsidRPr="00363855">
        <w:rPr>
          <w:rFonts w:ascii="仿宋_GB2312" w:eastAsia="仿宋_GB2312" w:hAnsi="宋体" w:hint="eastAsia"/>
          <w:b/>
          <w:sz w:val="28"/>
          <w:szCs w:val="28"/>
        </w:rPr>
        <w:t>单位GDP能耗下降率（%）</w:t>
      </w:r>
    </w:p>
    <w:p w:rsidR="006E4262" w:rsidRPr="00A40A0B" w:rsidRDefault="006E4262" w:rsidP="006E4262">
      <w:pPr>
        <w:spacing w:line="560" w:lineRule="exact"/>
        <w:ind w:firstLineChars="199" w:firstLine="637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二 、农业</w:t>
      </w:r>
    </w:p>
    <w:p w:rsidR="006E4262" w:rsidRPr="000678CA" w:rsidRDefault="006E4262" w:rsidP="006E4262">
      <w:pPr>
        <w:autoSpaceDE w:val="0"/>
        <w:autoSpaceDN w:val="0"/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FD2D06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农业生产</w:t>
      </w:r>
      <w:r w:rsidRPr="006E4BA9">
        <w:rPr>
          <w:rFonts w:ascii="仿宋_GB2312" w:eastAsia="仿宋_GB2312" w:hAnsi="仿宋" w:hint="eastAsia"/>
          <w:b/>
          <w:sz w:val="32"/>
          <w:szCs w:val="32"/>
        </w:rPr>
        <w:t>基本稳定</w:t>
      </w:r>
      <w:r w:rsidRPr="00FD2D06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  <w:r w:rsidRPr="00FD2D06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全区粮食作物播种面积</w:t>
      </w:r>
      <w:r w:rsidR="00D91D5B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55426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</w:t>
      </w:r>
      <w:r w:rsidR="0073170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、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4A3B55"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减少2499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</w:t>
      </w:r>
      <w:r w:rsidR="0073170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总产量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  <w:lang w:val="zh-CN"/>
        </w:rPr>
        <w:t>21919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</w:t>
      </w:r>
      <w:r w:rsidR="0073170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、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4A3B55"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减少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509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</w:t>
      </w:r>
      <w:r w:rsidR="0073170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蔬菜播种面积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13992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</w:t>
      </w:r>
      <w:r w:rsidR="0073170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总产量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43487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</w:t>
      </w:r>
      <w:r w:rsidR="0073170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瓜类播种面积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3302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亩，总产量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11288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吨；棉花播种面积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6432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亩，总产量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547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吨；肉类总产量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1073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吨、牛奶产量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2565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吨、禽蛋产量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533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吨、水产品产量</w:t>
      </w:r>
      <w:r w:rsidR="004A3B55" w:rsidRPr="00FD2D0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5286</w:t>
      </w:r>
      <w:r w:rsidRPr="00FD2D0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吨。</w:t>
      </w:r>
    </w:p>
    <w:p w:rsidR="006E4262" w:rsidRPr="00A40A0B" w:rsidRDefault="006E4262" w:rsidP="006E4262">
      <w:pPr>
        <w:spacing w:line="560" w:lineRule="exact"/>
        <w:ind w:firstLineChars="199" w:firstLine="637"/>
        <w:rPr>
          <w:rFonts w:ascii="黑体" w:eastAsia="黑体" w:hAnsi="黑体"/>
          <w:sz w:val="32"/>
          <w:szCs w:val="32"/>
        </w:rPr>
      </w:pPr>
      <w:r w:rsidRPr="00A40A0B">
        <w:rPr>
          <w:rFonts w:ascii="黑体" w:eastAsia="黑体" w:hAnsi="黑体" w:hint="eastAsia"/>
          <w:sz w:val="32"/>
          <w:szCs w:val="32"/>
        </w:rPr>
        <w:t>三 、工业和建筑业</w:t>
      </w:r>
    </w:p>
    <w:p w:rsidR="006E4262" w:rsidRPr="00A5422F" w:rsidRDefault="006E4262" w:rsidP="006E4262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全年工业增加值</w:t>
      </w:r>
      <w:r w:rsidR="004A3B55" w:rsidRPr="00A5422F">
        <w:rPr>
          <w:rFonts w:ascii="仿宋_GB2312" w:eastAsia="仿宋_GB2312" w:hAnsi="仿宋"/>
          <w:color w:val="000000" w:themeColor="text1"/>
          <w:sz w:val="32"/>
          <w:szCs w:val="32"/>
        </w:rPr>
        <w:t>393.9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亿元，可比价</w:t>
      </w:r>
      <w:r w:rsidR="004A3B55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下降</w:t>
      </w:r>
      <w:r w:rsidR="004A3B55" w:rsidRPr="00A5422F">
        <w:rPr>
          <w:rFonts w:ascii="仿宋_GB2312" w:eastAsia="仿宋_GB2312" w:hAnsi="仿宋"/>
          <w:color w:val="000000" w:themeColor="text1"/>
          <w:sz w:val="32"/>
          <w:szCs w:val="32"/>
        </w:rPr>
        <w:t>2.0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%；</w:t>
      </w:r>
      <w:r w:rsidRPr="00A5422F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建筑业增加值</w:t>
      </w:r>
      <w:r w:rsidR="004A3B55" w:rsidRPr="00A5422F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46.1</w:t>
      </w:r>
      <w:r w:rsidRPr="00A5422F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亿元，可比价下降</w:t>
      </w:r>
      <w:r w:rsidR="004A3B55" w:rsidRPr="00A5422F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16.9</w:t>
      </w:r>
      <w:r w:rsidRPr="00A5422F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%。</w:t>
      </w:r>
    </w:p>
    <w:p w:rsidR="00A5422F" w:rsidRPr="00A5422F" w:rsidRDefault="0035649C" w:rsidP="006E4BA9">
      <w:pPr>
        <w:spacing w:line="560" w:lineRule="exact"/>
        <w:ind w:firstLineChars="200" w:firstLine="643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A5422F">
        <w:rPr>
          <w:rFonts w:ascii="仿宋_GB2312" w:eastAsia="仿宋_GB2312" w:hint="eastAsia"/>
          <w:b/>
          <w:color w:val="000000" w:themeColor="text1"/>
          <w:sz w:val="32"/>
          <w:szCs w:val="32"/>
        </w:rPr>
        <w:t>工业</w:t>
      </w:r>
      <w:r w:rsidRPr="00A5422F">
        <w:rPr>
          <w:rFonts w:ascii="仿宋_GB2312" w:eastAsia="仿宋_GB2312"/>
          <w:b/>
          <w:color w:val="000000" w:themeColor="text1"/>
          <w:sz w:val="32"/>
          <w:szCs w:val="32"/>
        </w:rPr>
        <w:t>结构调整步伐加快。</w:t>
      </w:r>
      <w:r w:rsid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2</w:t>
      </w:r>
      <w:r w:rsidR="00A5422F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018</w:t>
      </w:r>
      <w:r w:rsid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年</w:t>
      </w:r>
      <w:r w:rsidR="00ED541D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，</w:t>
      </w:r>
      <w:r w:rsid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全区工业生产呈年初低开、</w:t>
      </w:r>
      <w:r w:rsidR="00A5422F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半年</w:t>
      </w:r>
      <w:r w:rsid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回升、</w:t>
      </w:r>
      <w:r w:rsidR="00A5422F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全年实现</w:t>
      </w:r>
      <w:r w:rsidR="006E4BA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正增长</w:t>
      </w:r>
      <w:r w:rsidR="006E4BA9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的良好态势，全年</w:t>
      </w:r>
      <w:r w:rsidR="006E4BA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规上</w:t>
      </w:r>
      <w:r w:rsidR="006E4BA9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工业产值增长</w:t>
      </w:r>
      <w:r w:rsidR="006E4BA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0.5</w:t>
      </w:r>
      <w:r w:rsidR="006E4BA9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%</w:t>
      </w:r>
      <w:r w:rsid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。</w:t>
      </w:r>
      <w:r w:rsidR="006E4BA9" w:rsidRPr="006E4BA9">
        <w:rPr>
          <w:rFonts w:ascii="仿宋_GB2312" w:eastAsia="仿宋_GB2312" w:hint="eastAsia"/>
          <w:b/>
          <w:color w:val="000000" w:themeColor="text1"/>
          <w:sz w:val="32"/>
          <w:szCs w:val="32"/>
        </w:rPr>
        <w:t>主导产业</w:t>
      </w:r>
      <w:r w:rsidR="006E4BA9" w:rsidRPr="006E4BA9">
        <w:rPr>
          <w:rFonts w:ascii="仿宋_GB2312" w:eastAsia="仿宋_GB2312"/>
          <w:b/>
          <w:color w:val="000000" w:themeColor="text1"/>
          <w:sz w:val="32"/>
          <w:szCs w:val="32"/>
        </w:rPr>
        <w:t>增势明显</w:t>
      </w:r>
      <w:r w:rsidR="006E4BA9">
        <w:rPr>
          <w:rFonts w:ascii="仿宋_GB2312" w:eastAsia="仿宋_GB2312" w:hint="eastAsia"/>
          <w:b/>
          <w:color w:val="000000" w:themeColor="text1"/>
          <w:sz w:val="32"/>
          <w:szCs w:val="32"/>
        </w:rPr>
        <w:t>，</w:t>
      </w:r>
      <w:r w:rsidR="00A5422F" w:rsidRP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黑色金属冶炼和压延加工业、汽车制造业以及金属制品业</w:t>
      </w:r>
      <w:r w:rsidR="006E4BA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三大</w:t>
      </w:r>
      <w:r w:rsidR="00A40A0B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支柱行业</w:t>
      </w:r>
      <w:r w:rsidR="00A40A0B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，</w:t>
      </w:r>
      <w:r w:rsidR="006E4BA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全年产值</w:t>
      </w:r>
      <w:r w:rsidR="00A5422F" w:rsidRP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占全区</w:t>
      </w:r>
      <w:r w:rsidR="006E4BA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规上</w:t>
      </w:r>
      <w:r w:rsidR="00A5422F" w:rsidRP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总产值的</w:t>
      </w:r>
      <w:r w:rsidR="00A40A0B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60</w:t>
      </w:r>
      <w:r w:rsidR="00A5422F" w:rsidRP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%</w:t>
      </w:r>
      <w:r w:rsidR="00A40A0B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、增长</w:t>
      </w:r>
      <w:r w:rsidR="00A5422F" w:rsidRPr="00A5422F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4.6%</w:t>
      </w:r>
      <w:r w:rsidR="006E4BA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；</w:t>
      </w:r>
      <w:r w:rsidR="006E4BA9" w:rsidRPr="006E4BA9">
        <w:rPr>
          <w:rFonts w:ascii="仿宋_GB2312" w:eastAsia="仿宋_GB2312" w:cs="宋体"/>
          <w:b/>
          <w:color w:val="000000" w:themeColor="text1"/>
          <w:kern w:val="0"/>
          <w:sz w:val="32"/>
          <w:szCs w:val="32"/>
        </w:rPr>
        <w:t>新动能快速积聚，</w:t>
      </w:r>
      <w:r w:rsidR="006E4BA9" w:rsidRPr="00A5422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战新企业实现产</w:t>
      </w:r>
      <w:r w:rsidR="006E4BA9" w:rsidRPr="00A5422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lastRenderedPageBreak/>
        <w:t>值增长4.9%、</w:t>
      </w:r>
      <w:r w:rsidR="006E4BA9" w:rsidRPr="00A5422F"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高技术产业企业产值增长</w:t>
      </w:r>
      <w:r w:rsidR="006E4BA9" w:rsidRPr="00A5422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2.5</w:t>
      </w:r>
      <w:r w:rsidR="006E4BA9" w:rsidRPr="00A5422F"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%</w:t>
      </w:r>
      <w:r w:rsidR="006E4BA9" w:rsidRPr="00A5422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，增速分别超过全区平均水平4.</w:t>
      </w:r>
      <w:r w:rsidR="006E4BA9" w:rsidRPr="00A5422F"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4</w:t>
      </w:r>
      <w:r w:rsidR="006E4BA9" w:rsidRPr="00A5422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个和2.0个百分点</w:t>
      </w:r>
      <w:r w:rsidR="006E4BA9" w:rsidRPr="00A5422F">
        <w:rPr>
          <w:rFonts w:ascii="仿宋_GB2312" w:eastAsia="仿宋_GB2312" w:cs="宋体"/>
          <w:color w:val="000000" w:themeColor="text1"/>
          <w:kern w:val="0"/>
          <w:sz w:val="32"/>
          <w:szCs w:val="32"/>
          <w:lang w:val="zh-CN"/>
        </w:rPr>
        <w:t>。</w:t>
      </w:r>
    </w:p>
    <w:p w:rsidR="0035649C" w:rsidRDefault="006E4BA9" w:rsidP="006E426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4D4ABF">
        <w:rPr>
          <w:rFonts w:ascii="仿宋_GB2312" w:eastAsia="仿宋_GB2312" w:hint="eastAsia"/>
          <w:b/>
          <w:sz w:val="32"/>
          <w:szCs w:val="32"/>
        </w:rPr>
        <w:t>企业效益</w:t>
      </w:r>
      <w:r w:rsidR="0035649C" w:rsidRPr="004D4ABF">
        <w:rPr>
          <w:rFonts w:ascii="仿宋_GB2312" w:eastAsia="仿宋_GB2312" w:hint="eastAsia"/>
          <w:b/>
          <w:sz w:val="32"/>
          <w:szCs w:val="32"/>
        </w:rPr>
        <w:t>不佳。</w:t>
      </w:r>
      <w:r w:rsidR="0035649C" w:rsidRPr="006E4BA9">
        <w:rPr>
          <w:rFonts w:ascii="仿宋_GB2312" w:eastAsia="仿宋_GB2312" w:hint="eastAsia"/>
          <w:sz w:val="32"/>
          <w:szCs w:val="32"/>
        </w:rPr>
        <w:t>2018年</w:t>
      </w:r>
      <w:r w:rsidR="00ED541D">
        <w:rPr>
          <w:rFonts w:ascii="仿宋_GB2312" w:eastAsia="仿宋_GB2312" w:hint="eastAsia"/>
          <w:sz w:val="32"/>
          <w:szCs w:val="32"/>
        </w:rPr>
        <w:t>，</w:t>
      </w:r>
      <w:r w:rsidR="0035649C" w:rsidRPr="006E4BA9">
        <w:rPr>
          <w:rFonts w:ascii="仿宋_GB2312" w:eastAsia="仿宋_GB2312" w:hint="eastAsia"/>
          <w:sz w:val="32"/>
          <w:szCs w:val="32"/>
        </w:rPr>
        <w:t>工业生产虽然</w:t>
      </w:r>
      <w:r>
        <w:rPr>
          <w:rFonts w:ascii="仿宋_GB2312" w:eastAsia="仿宋_GB2312" w:hint="eastAsia"/>
          <w:sz w:val="32"/>
          <w:szCs w:val="32"/>
        </w:rPr>
        <w:t>逐步</w:t>
      </w:r>
      <w:r w:rsidR="0035649C" w:rsidRPr="006E4BA9">
        <w:rPr>
          <w:rFonts w:ascii="仿宋_GB2312" w:eastAsia="仿宋_GB2312" w:hint="eastAsia"/>
          <w:sz w:val="32"/>
          <w:szCs w:val="32"/>
        </w:rPr>
        <w:t>恢复，但剔除价格指数影响增加值可</w:t>
      </w:r>
      <w:r w:rsidR="0035649C">
        <w:rPr>
          <w:rFonts w:ascii="仿宋_GB2312" w:eastAsia="仿宋_GB2312"/>
          <w:sz w:val="32"/>
          <w:szCs w:val="32"/>
        </w:rPr>
        <w:t>比价</w:t>
      </w:r>
      <w:r w:rsidR="0035649C">
        <w:rPr>
          <w:rFonts w:ascii="仿宋_GB2312" w:eastAsia="仿宋_GB2312" w:hint="eastAsia"/>
          <w:sz w:val="32"/>
          <w:szCs w:val="32"/>
        </w:rPr>
        <w:t>增速依然下降2</w:t>
      </w:r>
      <w:r w:rsidR="0035649C">
        <w:rPr>
          <w:rFonts w:ascii="仿宋_GB2312" w:eastAsia="仿宋_GB2312"/>
          <w:sz w:val="32"/>
          <w:szCs w:val="32"/>
        </w:rPr>
        <w:t>%</w:t>
      </w:r>
      <w:r w:rsidR="0035649C">
        <w:rPr>
          <w:rFonts w:ascii="仿宋_GB2312" w:eastAsia="仿宋_GB2312" w:hint="eastAsia"/>
          <w:sz w:val="32"/>
          <w:szCs w:val="32"/>
        </w:rPr>
        <w:t>、</w:t>
      </w:r>
      <w:r w:rsidR="0035649C">
        <w:rPr>
          <w:rFonts w:ascii="仿宋_GB2312" w:eastAsia="仿宋_GB2312"/>
          <w:sz w:val="32"/>
          <w:szCs w:val="32"/>
        </w:rPr>
        <w:t>低于全市</w:t>
      </w:r>
      <w:r w:rsidR="0035649C">
        <w:rPr>
          <w:rFonts w:ascii="仿宋_GB2312" w:eastAsia="仿宋_GB2312" w:hint="eastAsia"/>
          <w:sz w:val="32"/>
          <w:szCs w:val="32"/>
        </w:rPr>
        <w:t>4.6个</w:t>
      </w:r>
      <w:r w:rsidR="0035649C">
        <w:rPr>
          <w:rFonts w:ascii="仿宋_GB2312" w:eastAsia="仿宋_GB2312"/>
          <w:sz w:val="32"/>
          <w:szCs w:val="32"/>
        </w:rPr>
        <w:t>百分点</w:t>
      </w:r>
      <w:r w:rsidR="0035649C">
        <w:rPr>
          <w:rFonts w:ascii="仿宋_GB2312" w:eastAsia="仿宋_GB2312" w:hint="eastAsia"/>
          <w:sz w:val="32"/>
          <w:szCs w:val="32"/>
        </w:rPr>
        <w:t>，</w:t>
      </w:r>
      <w:r w:rsidR="0035649C">
        <w:rPr>
          <w:rFonts w:ascii="仿宋_GB2312" w:eastAsia="仿宋_GB2312"/>
          <w:sz w:val="32"/>
          <w:szCs w:val="32"/>
        </w:rPr>
        <w:t>拉低全区</w:t>
      </w:r>
      <w:r w:rsidR="0035649C">
        <w:rPr>
          <w:rFonts w:ascii="仿宋_GB2312" w:eastAsia="仿宋_GB2312" w:hint="eastAsia"/>
          <w:sz w:val="32"/>
          <w:szCs w:val="32"/>
        </w:rPr>
        <w:t>GDP</w:t>
      </w:r>
      <w:r w:rsidR="0035649C">
        <w:rPr>
          <w:rFonts w:ascii="仿宋_GB2312" w:eastAsia="仿宋_GB2312"/>
          <w:sz w:val="32"/>
          <w:szCs w:val="32"/>
        </w:rPr>
        <w:t>0.99</w:t>
      </w:r>
      <w:r w:rsidR="0035649C">
        <w:rPr>
          <w:rFonts w:ascii="仿宋_GB2312" w:eastAsia="仿宋_GB2312" w:hint="eastAsia"/>
          <w:sz w:val="32"/>
          <w:szCs w:val="32"/>
        </w:rPr>
        <w:t>个</w:t>
      </w:r>
      <w:r w:rsidR="0035649C">
        <w:rPr>
          <w:rFonts w:ascii="仿宋_GB2312" w:eastAsia="仿宋_GB2312"/>
          <w:sz w:val="32"/>
          <w:szCs w:val="32"/>
        </w:rPr>
        <w:t>百分点</w:t>
      </w:r>
      <w:r w:rsidR="0035649C">
        <w:rPr>
          <w:rFonts w:ascii="仿宋_GB2312" w:eastAsia="仿宋_GB2312" w:hint="eastAsia"/>
          <w:sz w:val="32"/>
          <w:szCs w:val="32"/>
        </w:rPr>
        <w:t>；特别</w:t>
      </w:r>
      <w:r w:rsidR="0035649C">
        <w:rPr>
          <w:rFonts w:ascii="仿宋_GB2312" w:eastAsia="仿宋_GB2312"/>
          <w:sz w:val="32"/>
          <w:szCs w:val="32"/>
        </w:rPr>
        <w:t>是</w:t>
      </w:r>
      <w:r w:rsidR="0035649C">
        <w:rPr>
          <w:rFonts w:ascii="仿宋_GB2312" w:eastAsia="仿宋_GB2312" w:hint="eastAsia"/>
          <w:sz w:val="32"/>
          <w:szCs w:val="32"/>
        </w:rPr>
        <w:t>规上企业</w:t>
      </w:r>
      <w:r w:rsidR="0035649C">
        <w:rPr>
          <w:rFonts w:ascii="仿宋_GB2312" w:eastAsia="仿宋_GB2312"/>
          <w:sz w:val="32"/>
          <w:szCs w:val="32"/>
        </w:rPr>
        <w:t>利润亏损</w:t>
      </w:r>
      <w:r w:rsidR="0035649C">
        <w:rPr>
          <w:rFonts w:ascii="仿宋_GB2312" w:eastAsia="仿宋_GB2312" w:hint="eastAsia"/>
          <w:sz w:val="32"/>
          <w:szCs w:val="32"/>
        </w:rPr>
        <w:t>高达5.7亿元、</w:t>
      </w:r>
      <w:r w:rsidR="0035649C">
        <w:rPr>
          <w:rFonts w:ascii="仿宋_GB2312" w:eastAsia="仿宋_GB2312"/>
          <w:sz w:val="32"/>
          <w:szCs w:val="32"/>
        </w:rPr>
        <w:t>下降</w:t>
      </w:r>
      <w:r w:rsidR="0035649C">
        <w:rPr>
          <w:rFonts w:ascii="仿宋_GB2312" w:eastAsia="仿宋_GB2312" w:hint="eastAsia"/>
          <w:sz w:val="32"/>
          <w:szCs w:val="32"/>
        </w:rPr>
        <w:t>125.1</w:t>
      </w:r>
      <w:r w:rsidR="0035649C">
        <w:rPr>
          <w:rFonts w:ascii="仿宋_GB2312" w:eastAsia="仿宋_GB2312"/>
          <w:sz w:val="32"/>
          <w:szCs w:val="32"/>
        </w:rPr>
        <w:t>%</w:t>
      </w:r>
      <w:r w:rsidR="0035649C">
        <w:rPr>
          <w:rFonts w:ascii="仿宋_GB2312" w:eastAsia="仿宋_GB2312" w:hint="eastAsia"/>
          <w:sz w:val="32"/>
          <w:szCs w:val="32"/>
        </w:rPr>
        <w:t>；</w:t>
      </w:r>
      <w:r w:rsidR="0035649C" w:rsidRPr="00BA7D9E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总资产贡献率</w:t>
      </w:r>
      <w:r w:rsidR="0035649C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仅</w:t>
      </w:r>
      <w:r w:rsidR="0035649C" w:rsidRPr="00BA7D9E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为3.8%，</w:t>
      </w:r>
      <w:r w:rsidR="0035649C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虽然比一季度提升了2.9个百分点，但仍未达全市平均水平，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大型</w:t>
      </w:r>
      <w:r w:rsidR="0035649C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国有</w:t>
      </w:r>
      <w:r w:rsidR="0035649C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控股</w:t>
      </w:r>
      <w:r w:rsidR="0035649C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企业的高负债已经严重</w:t>
      </w:r>
      <w:r w:rsidR="0035649C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影响</w:t>
      </w:r>
      <w:r w:rsidR="0035649C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全区工业</w:t>
      </w:r>
      <w:r w:rsidR="0035649C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发展质量</w:t>
      </w:r>
      <w:r w:rsidR="0035649C"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和效益。</w:t>
      </w:r>
    </w:p>
    <w:p w:rsidR="006E4262" w:rsidRPr="00690B33" w:rsidRDefault="0035649C" w:rsidP="006E4BA9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黑体" w:eastAsia="黑体" w:hAnsi="黑体"/>
          <w:color w:val="000000" w:themeColor="text1"/>
          <w:sz w:val="32"/>
          <w:szCs w:val="32"/>
        </w:rPr>
      </w:pPr>
      <w:r w:rsidRPr="00A5422F">
        <w:rPr>
          <w:rFonts w:ascii="仿宋_GB2312" w:eastAsia="仿宋_GB2312" w:hint="eastAsia"/>
          <w:b/>
          <w:color w:val="000000" w:themeColor="text1"/>
          <w:sz w:val="32"/>
          <w:szCs w:val="32"/>
        </w:rPr>
        <w:t>建筑业逐渐</w:t>
      </w:r>
      <w:r w:rsidRPr="00A5422F">
        <w:rPr>
          <w:rFonts w:ascii="仿宋_GB2312" w:eastAsia="仿宋_GB2312"/>
          <w:b/>
          <w:color w:val="000000" w:themeColor="text1"/>
          <w:sz w:val="32"/>
          <w:szCs w:val="32"/>
        </w:rPr>
        <w:t>好转</w:t>
      </w:r>
      <w:r w:rsidRPr="00A5422F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Pr="00A5422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lang w:val="zh-CN"/>
        </w:rPr>
        <w:t>全区</w:t>
      </w:r>
      <w:r w:rsidRPr="00A5422F">
        <w:rPr>
          <w:rFonts w:ascii="仿宋_GB2312" w:eastAsia="仿宋_GB2312" w:hAnsi="宋体" w:hint="eastAsia"/>
          <w:color w:val="000000" w:themeColor="text1"/>
          <w:sz w:val="32"/>
          <w:szCs w:val="32"/>
        </w:rPr>
        <w:t>具有资质的</w:t>
      </w:r>
      <w:r w:rsidRPr="00A5422F">
        <w:rPr>
          <w:rFonts w:ascii="仿宋_GB2312" w:eastAsia="仿宋_GB2312" w:hAnsi="仿宋" w:cs="楷体" w:hint="eastAsia"/>
          <w:color w:val="000000" w:themeColor="text1"/>
          <w:sz w:val="32"/>
          <w:szCs w:val="32"/>
        </w:rPr>
        <w:t>总承包和</w:t>
      </w:r>
      <w:r w:rsidRPr="00A5422F">
        <w:rPr>
          <w:rFonts w:ascii="仿宋_GB2312" w:eastAsia="仿宋_GB2312" w:hAnsi="宋体" w:hint="eastAsia"/>
          <w:color w:val="000000" w:themeColor="text1"/>
          <w:sz w:val="32"/>
          <w:szCs w:val="32"/>
        </w:rPr>
        <w:t>专业承包建筑业企业</w:t>
      </w:r>
      <w:r w:rsidRPr="00A5422F">
        <w:rPr>
          <w:rFonts w:ascii="仿宋_GB2312" w:eastAsia="仿宋_GB2312" w:hint="eastAsia"/>
          <w:color w:val="000000" w:themeColor="text1"/>
          <w:sz w:val="32"/>
          <w:szCs w:val="32"/>
        </w:rPr>
        <w:t>全年</w:t>
      </w:r>
      <w:r w:rsidRPr="00A5422F">
        <w:rPr>
          <w:rFonts w:ascii="仿宋_GB2312" w:eastAsia="仿宋_GB2312"/>
          <w:color w:val="000000" w:themeColor="text1"/>
          <w:sz w:val="32"/>
          <w:szCs w:val="32"/>
        </w:rPr>
        <w:t>实现产值</w:t>
      </w:r>
      <w:r w:rsidRPr="00A5422F">
        <w:rPr>
          <w:rFonts w:ascii="仿宋_GB2312" w:eastAsia="仿宋_GB2312" w:hint="eastAsia"/>
          <w:color w:val="000000" w:themeColor="text1"/>
          <w:sz w:val="32"/>
          <w:szCs w:val="32"/>
        </w:rPr>
        <w:t>127.7亿元</w:t>
      </w:r>
      <w:r w:rsidRPr="00A5422F">
        <w:rPr>
          <w:rFonts w:ascii="仿宋_GB2312" w:eastAsia="仿宋_GB2312"/>
          <w:color w:val="000000" w:themeColor="text1"/>
          <w:sz w:val="32"/>
          <w:szCs w:val="32"/>
        </w:rPr>
        <w:t>、增长</w:t>
      </w:r>
      <w:r w:rsidRPr="00A5422F">
        <w:rPr>
          <w:rFonts w:ascii="仿宋_GB2312" w:eastAsia="仿宋_GB2312" w:hint="eastAsia"/>
          <w:color w:val="000000" w:themeColor="text1"/>
          <w:sz w:val="32"/>
          <w:szCs w:val="32"/>
        </w:rPr>
        <w:t>1.3</w:t>
      </w:r>
      <w:r w:rsidRPr="00A5422F">
        <w:rPr>
          <w:rFonts w:ascii="仿宋_GB2312" w:eastAsia="仿宋_GB2312"/>
          <w:color w:val="000000" w:themeColor="text1"/>
          <w:sz w:val="32"/>
          <w:szCs w:val="32"/>
        </w:rPr>
        <w:t>%，比</w:t>
      </w:r>
      <w:r w:rsidR="00FD263B">
        <w:rPr>
          <w:rFonts w:ascii="仿宋_GB2312" w:eastAsia="仿宋_GB2312" w:hint="eastAsia"/>
          <w:color w:val="000000" w:themeColor="text1"/>
          <w:sz w:val="32"/>
          <w:szCs w:val="32"/>
        </w:rPr>
        <w:t>上</w:t>
      </w:r>
      <w:r w:rsidRPr="00A5422F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FD263B">
        <w:rPr>
          <w:rFonts w:ascii="仿宋_GB2312" w:eastAsia="仿宋_GB2312"/>
          <w:color w:val="000000" w:themeColor="text1"/>
          <w:sz w:val="32"/>
          <w:szCs w:val="32"/>
        </w:rPr>
        <w:t>提</w:t>
      </w:r>
      <w:r w:rsidR="00FD263B">
        <w:rPr>
          <w:rFonts w:ascii="仿宋_GB2312" w:eastAsia="仿宋_GB2312" w:hint="eastAsia"/>
          <w:color w:val="000000" w:themeColor="text1"/>
          <w:sz w:val="32"/>
          <w:szCs w:val="32"/>
        </w:rPr>
        <w:t>高</w:t>
      </w:r>
      <w:r w:rsidRPr="00A5422F">
        <w:rPr>
          <w:rFonts w:ascii="仿宋_GB2312" w:eastAsia="仿宋_GB2312"/>
          <w:color w:val="000000" w:themeColor="text1"/>
          <w:sz w:val="32"/>
          <w:szCs w:val="32"/>
        </w:rPr>
        <w:t>43</w:t>
      </w:r>
      <w:r w:rsidRPr="00A5422F">
        <w:rPr>
          <w:rFonts w:ascii="仿宋_GB2312" w:eastAsia="仿宋_GB2312" w:hint="eastAsia"/>
          <w:color w:val="000000" w:themeColor="text1"/>
          <w:sz w:val="32"/>
          <w:szCs w:val="32"/>
        </w:rPr>
        <w:t>个</w:t>
      </w:r>
      <w:r w:rsidRPr="00A5422F">
        <w:rPr>
          <w:rFonts w:ascii="仿宋_GB2312" w:eastAsia="仿宋_GB2312"/>
          <w:color w:val="000000" w:themeColor="text1"/>
          <w:sz w:val="32"/>
          <w:szCs w:val="32"/>
        </w:rPr>
        <w:t>百分点。</w:t>
      </w:r>
      <w:r w:rsidR="006E4BA9">
        <w:rPr>
          <w:rFonts w:ascii="仿宋_GB2312" w:eastAsia="仿宋_GB2312" w:hint="eastAsia"/>
          <w:color w:val="000000" w:themeColor="text1"/>
          <w:sz w:val="32"/>
          <w:szCs w:val="32"/>
        </w:rPr>
        <w:t>截至年末</w:t>
      </w:r>
      <w:r w:rsidR="006E4BA9">
        <w:rPr>
          <w:rFonts w:ascii="仿宋_GB2312" w:eastAsia="仿宋_GB2312"/>
          <w:color w:val="000000" w:themeColor="text1"/>
          <w:sz w:val="32"/>
          <w:szCs w:val="32"/>
        </w:rPr>
        <w:t>，全区有资质的建筑</w:t>
      </w:r>
      <w:r w:rsidR="006E4BA9">
        <w:rPr>
          <w:rFonts w:ascii="仿宋_GB2312" w:eastAsia="仿宋_GB2312" w:hint="eastAsia"/>
          <w:color w:val="000000" w:themeColor="text1"/>
          <w:sz w:val="32"/>
          <w:szCs w:val="32"/>
        </w:rPr>
        <w:t>企</w:t>
      </w:r>
      <w:r w:rsidR="006E4BA9" w:rsidRPr="00965552">
        <w:rPr>
          <w:rFonts w:ascii="仿宋_GB2312" w:eastAsia="仿宋_GB2312" w:hint="eastAsia"/>
          <w:sz w:val="32"/>
          <w:szCs w:val="32"/>
        </w:rPr>
        <w:t>业</w:t>
      </w:r>
      <w:r w:rsidR="00965552" w:rsidRPr="00965552">
        <w:rPr>
          <w:rFonts w:ascii="仿宋_GB2312" w:eastAsia="仿宋_GB2312"/>
          <w:sz w:val="32"/>
          <w:szCs w:val="32"/>
        </w:rPr>
        <w:t>155</w:t>
      </w:r>
      <w:r w:rsidR="006E4BA9" w:rsidRPr="00965552">
        <w:rPr>
          <w:rFonts w:ascii="仿宋_GB2312" w:eastAsia="仿宋_GB2312"/>
          <w:sz w:val="32"/>
          <w:szCs w:val="32"/>
        </w:rPr>
        <w:t>家，比上年末增加</w:t>
      </w:r>
      <w:r w:rsidR="00965552" w:rsidRPr="00965552">
        <w:rPr>
          <w:rFonts w:ascii="仿宋_GB2312" w:eastAsia="仿宋_GB2312"/>
          <w:sz w:val="32"/>
          <w:szCs w:val="32"/>
        </w:rPr>
        <w:t>33</w:t>
      </w:r>
      <w:r w:rsidR="006E4BA9" w:rsidRPr="00965552">
        <w:rPr>
          <w:rFonts w:ascii="仿宋_GB2312" w:eastAsia="仿宋_GB2312"/>
          <w:sz w:val="32"/>
          <w:szCs w:val="32"/>
        </w:rPr>
        <w:t>家</w:t>
      </w:r>
      <w:r w:rsidR="006E4BA9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:rsidR="00FD3D54" w:rsidRDefault="00FD3D54" w:rsidP="006E4262">
      <w:pPr>
        <w:spacing w:line="560" w:lineRule="exact"/>
        <w:ind w:firstLine="660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_GB2312" w:eastAsia="仿宋_GB2312" w:hAnsi="仿宋"/>
          <w:b/>
          <w:color w:val="000000" w:themeColor="text1"/>
          <w:sz w:val="32"/>
          <w:szCs w:val="32"/>
        </w:rPr>
        <w:t>、固定资产投资</w:t>
      </w:r>
    </w:p>
    <w:p w:rsidR="00FD263B" w:rsidRDefault="00A5422F" w:rsidP="006E4262">
      <w:pPr>
        <w:spacing w:line="560" w:lineRule="exact"/>
        <w:ind w:firstLine="66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5422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固定资产</w:t>
      </w:r>
      <w:r w:rsidR="006E4262" w:rsidRPr="00A5422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投资</w:t>
      </w:r>
      <w:r w:rsidRPr="00A5422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大幅</w:t>
      </w:r>
      <w:r w:rsidR="00FD263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下滑</w:t>
      </w:r>
      <w:r w:rsidR="006E4262" w:rsidRPr="00A5422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全年固定资产投资</w:t>
      </w:r>
      <w:r w:rsidR="006E4262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4A3B55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下降23.9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%。分</w:t>
      </w:r>
      <w:r w:rsidR="006E4262" w:rsidRPr="00A5422F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产业看：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第一产业</w:t>
      </w:r>
      <w:r w:rsidR="006E4262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下降</w:t>
      </w:r>
      <w:r w:rsidR="004A3B55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95.6</w:t>
      </w:r>
      <w:r w:rsidR="006E4262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</w:t>
      </w:r>
      <w:r w:rsidR="001179C6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第二产业</w:t>
      </w:r>
      <w:r w:rsidR="004A3B55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下降</w:t>
      </w:r>
      <w:r w:rsidR="004A3B55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9.0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1179C6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第三产业</w:t>
      </w:r>
      <w:r w:rsidR="004A3B55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下降23.8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1179C6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三次产业投资占总投资的比重分别为</w:t>
      </w:r>
      <w:r w:rsidR="00074FF5">
        <w:rPr>
          <w:rFonts w:ascii="仿宋_GB2312" w:eastAsia="仿宋_GB2312" w:hAnsi="仿宋"/>
          <w:color w:val="000000" w:themeColor="text1"/>
          <w:sz w:val="32"/>
          <w:szCs w:val="32"/>
        </w:rPr>
        <w:t>0.1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∶</w:t>
      </w:r>
      <w:r w:rsidR="004A3B55" w:rsidRPr="00A5422F">
        <w:rPr>
          <w:rFonts w:ascii="仿宋_GB2312" w:eastAsia="仿宋_GB2312" w:hAnsi="仿宋"/>
          <w:color w:val="000000" w:themeColor="text1"/>
          <w:sz w:val="32"/>
          <w:szCs w:val="32"/>
        </w:rPr>
        <w:t>13.2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∶</w:t>
      </w:r>
      <w:r w:rsidR="004A3B55" w:rsidRPr="00A5422F">
        <w:rPr>
          <w:rFonts w:ascii="仿宋_GB2312" w:eastAsia="仿宋_GB2312" w:hAnsi="仿宋"/>
          <w:color w:val="000000" w:themeColor="text1"/>
          <w:sz w:val="32"/>
          <w:szCs w:val="32"/>
        </w:rPr>
        <w:t>86.7</w:t>
      </w:r>
      <w:r w:rsidR="006E4262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6E4262" w:rsidRPr="00A40A0B" w:rsidRDefault="006E4262" w:rsidP="006E426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五、批发零售和住宿餐饮业</w:t>
      </w:r>
    </w:p>
    <w:p w:rsidR="006E4262" w:rsidRPr="00A5422F" w:rsidRDefault="006E4262" w:rsidP="006E426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全年批发和零售业增加值</w:t>
      </w:r>
      <w:r w:rsidR="00F9633E" w:rsidRPr="00A5422F">
        <w:rPr>
          <w:rFonts w:ascii="仿宋_GB2312" w:eastAsia="仿宋_GB2312" w:hAnsi="仿宋"/>
          <w:color w:val="000000" w:themeColor="text1"/>
          <w:sz w:val="32"/>
          <w:szCs w:val="32"/>
        </w:rPr>
        <w:t>99.7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亿元，可比价</w:t>
      </w:r>
      <w:r w:rsidR="00F9633E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下降</w:t>
      </w:r>
      <w:r w:rsidR="00F9633E" w:rsidRPr="00A5422F">
        <w:rPr>
          <w:rFonts w:ascii="仿宋_GB2312" w:eastAsia="仿宋_GB2312" w:hAnsi="仿宋"/>
          <w:color w:val="000000" w:themeColor="text1"/>
          <w:sz w:val="32"/>
          <w:szCs w:val="32"/>
        </w:rPr>
        <w:t>1.6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%；住宿和餐饮业增加值</w:t>
      </w:r>
      <w:r w:rsidR="00F9633E" w:rsidRPr="00A5422F">
        <w:rPr>
          <w:rFonts w:ascii="仿宋_GB2312" w:eastAsia="仿宋_GB2312" w:hAnsi="仿宋"/>
          <w:color w:val="000000" w:themeColor="text1"/>
          <w:sz w:val="32"/>
          <w:szCs w:val="32"/>
        </w:rPr>
        <w:t>59.9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亿元，可比价增长</w:t>
      </w:r>
      <w:r w:rsidR="00F9633E" w:rsidRPr="00A5422F">
        <w:rPr>
          <w:rFonts w:ascii="仿宋_GB2312" w:eastAsia="仿宋_GB2312" w:hAnsi="仿宋"/>
          <w:color w:val="000000" w:themeColor="text1"/>
          <w:sz w:val="32"/>
          <w:szCs w:val="32"/>
        </w:rPr>
        <w:t>3.9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6E4262" w:rsidRPr="00A5422F" w:rsidRDefault="0035649C" w:rsidP="0035649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</w:pPr>
      <w:bookmarkStart w:id="1" w:name="OLE_LINK4"/>
      <w:r w:rsidRPr="00BF3D08">
        <w:rPr>
          <w:rFonts w:ascii="楷体_GB2312" w:eastAsia="楷体_GB2312" w:hint="eastAsia"/>
          <w:b/>
          <w:color w:val="000000" w:themeColor="text1"/>
          <w:sz w:val="32"/>
          <w:szCs w:val="32"/>
        </w:rPr>
        <w:t>商贸市场</w:t>
      </w:r>
      <w:r w:rsidR="00BF3D08" w:rsidRPr="00BF3D08">
        <w:rPr>
          <w:rFonts w:ascii="楷体_GB2312" w:eastAsia="楷体_GB2312" w:hint="eastAsia"/>
          <w:b/>
          <w:color w:val="000000" w:themeColor="text1"/>
          <w:sz w:val="32"/>
          <w:szCs w:val="32"/>
        </w:rPr>
        <w:t>逐步回暖</w:t>
      </w:r>
      <w:r w:rsidRPr="00BF3D08">
        <w:rPr>
          <w:rFonts w:ascii="楷体_GB2312" w:eastAsia="楷体_GB2312" w:hint="eastAsia"/>
          <w:b/>
          <w:color w:val="000000" w:themeColor="text1"/>
          <w:sz w:val="32"/>
          <w:szCs w:val="32"/>
        </w:rPr>
        <w:t>。</w:t>
      </w:r>
      <w:r w:rsidR="006E4262" w:rsidRPr="00BF3D08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全</w:t>
      </w:r>
      <w:r w:rsidR="006E4262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年</w:t>
      </w:r>
      <w:bookmarkEnd w:id="1"/>
      <w:r w:rsidR="006E4262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实现销售额</w:t>
      </w:r>
      <w:r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3616.7</w:t>
      </w:r>
      <w:r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亿元、</w:t>
      </w:r>
      <w:r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增速为</w:t>
      </w:r>
      <w:r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0</w:t>
      </w:r>
      <w:r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%</w:t>
      </w:r>
      <w:r w:rsidR="00DC6685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，</w:t>
      </w:r>
      <w:r w:rsidR="00FD263B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限额以上</w:t>
      </w:r>
      <w:r w:rsidR="00FD263B">
        <w:rPr>
          <w:rFonts w:ascii="仿宋_GB2312" w:eastAsia="仿宋_GB2312" w:hAnsi="仿宋" w:cs="宋体"/>
          <w:color w:val="000000" w:themeColor="text1"/>
          <w:sz w:val="32"/>
          <w:szCs w:val="32"/>
        </w:rPr>
        <w:t>商品</w:t>
      </w:r>
      <w:r w:rsidR="00FD263B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中</w:t>
      </w:r>
      <w:r w:rsidR="004151BA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煤炭</w:t>
      </w:r>
      <w:r w:rsidR="004151BA"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及制品、化工材料及制品、机电产品及设备、石油及制品和油食品六大类商品销售额增长过亿</w:t>
      </w:r>
      <w:r w:rsidR="004151BA" w:rsidRPr="00A5422F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，</w:t>
      </w:r>
      <w:r w:rsidR="004151BA"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拉动</w:t>
      </w:r>
      <w:r w:rsidR="00DC6685"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全</w:t>
      </w:r>
      <w:r w:rsidR="00DC6685"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lastRenderedPageBreak/>
        <w:t>区</w:t>
      </w:r>
      <w:r w:rsidR="004151BA" w:rsidRPr="00A5422F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限上销售额</w:t>
      </w:r>
      <w:r w:rsidR="00DC6685"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增长2.2个</w:t>
      </w:r>
      <w:r w:rsidR="00DC6685" w:rsidRPr="00A5422F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百分点。</w:t>
      </w:r>
      <w:r w:rsidR="00FD263B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全年</w:t>
      </w:r>
      <w:r w:rsidR="006E4262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实现社会消费品零售额</w:t>
      </w:r>
      <w:r w:rsidR="00DC6685"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268.9</w:t>
      </w:r>
      <w:r w:rsidR="006E4262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亿元，比上年下降</w:t>
      </w:r>
      <w:r w:rsidR="00DC6685"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1.8</w:t>
      </w:r>
      <w:r w:rsidR="006E4262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%</w:t>
      </w:r>
      <w:r w:rsidR="00DC6685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，</w:t>
      </w:r>
      <w:r w:rsidR="00FD263B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限额以上</w:t>
      </w:r>
      <w:r w:rsidR="00FD263B">
        <w:rPr>
          <w:rFonts w:ascii="仿宋_GB2312" w:eastAsia="仿宋_GB2312" w:hAnsi="仿宋" w:cs="宋体"/>
          <w:color w:val="000000" w:themeColor="text1"/>
          <w:sz w:val="32"/>
          <w:szCs w:val="32"/>
        </w:rPr>
        <w:t>商品中</w:t>
      </w:r>
      <w:r w:rsidR="00DC6685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粮油食品</w:t>
      </w:r>
      <w:r w:rsidR="00DC6685"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和五金电料两大类零售额净增过亿元</w:t>
      </w:r>
      <w:r w:rsidR="006E4262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。</w:t>
      </w:r>
      <w:r w:rsidR="00DC6685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全区</w:t>
      </w:r>
      <w:r w:rsidR="00DC6685"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交易额亿元以上批发市场</w:t>
      </w:r>
      <w:r w:rsidR="009E1347">
        <w:rPr>
          <w:rFonts w:ascii="仿宋_GB2312" w:eastAsia="仿宋_GB2312" w:hAnsi="仿宋" w:cs="宋体"/>
          <w:color w:val="000000" w:themeColor="text1"/>
          <w:sz w:val="32"/>
          <w:szCs w:val="32"/>
        </w:rPr>
        <w:t>2</w:t>
      </w:r>
      <w:r w:rsidR="00DC6685"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家，全年交易额</w:t>
      </w:r>
      <w:r w:rsidR="00DC6685" w:rsidRPr="00A5422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215.6亿元</w:t>
      </w:r>
      <w:r w:rsidR="00DC6685" w:rsidRPr="00A5422F">
        <w:rPr>
          <w:rFonts w:ascii="仿宋_GB2312" w:eastAsia="仿宋_GB2312" w:hAnsi="仿宋" w:cs="宋体"/>
          <w:color w:val="000000" w:themeColor="text1"/>
          <w:sz w:val="32"/>
          <w:szCs w:val="32"/>
        </w:rPr>
        <w:t>。</w:t>
      </w:r>
    </w:p>
    <w:p w:rsidR="006E4262" w:rsidRPr="003554F5" w:rsidRDefault="006E4262" w:rsidP="006E426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color w:val="385623" w:themeColor="accent6" w:themeShade="80"/>
          <w:sz w:val="32"/>
          <w:szCs w:val="32"/>
        </w:rPr>
      </w:pPr>
      <w:r w:rsidRPr="00A5422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住餐市场</w:t>
      </w:r>
      <w:r w:rsidR="00FD263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持续活跃</w:t>
      </w:r>
      <w:r w:rsidRPr="00A5422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全年住宿和餐饮业营业额</w:t>
      </w:r>
      <w:r w:rsidR="002869AB" w:rsidRPr="00A5422F">
        <w:rPr>
          <w:rFonts w:ascii="仿宋_GB2312" w:eastAsia="仿宋_GB2312" w:hAnsi="仿宋"/>
          <w:color w:val="000000" w:themeColor="text1"/>
          <w:sz w:val="32"/>
          <w:szCs w:val="32"/>
        </w:rPr>
        <w:t>9</w:t>
      </w:r>
      <w:r w:rsidR="00DF7B6E" w:rsidRPr="00A5422F">
        <w:rPr>
          <w:rFonts w:ascii="仿宋_GB2312" w:eastAsia="仿宋_GB2312" w:hAnsi="仿宋"/>
          <w:color w:val="000000" w:themeColor="text1"/>
          <w:sz w:val="32"/>
          <w:szCs w:val="32"/>
        </w:rPr>
        <w:t>7</w:t>
      </w:r>
      <w:r w:rsidR="002869AB" w:rsidRPr="00A5422F">
        <w:rPr>
          <w:rFonts w:ascii="仿宋_GB2312" w:eastAsia="仿宋_GB2312" w:hAnsi="仿宋"/>
          <w:color w:val="000000" w:themeColor="text1"/>
          <w:sz w:val="32"/>
          <w:szCs w:val="32"/>
        </w:rPr>
        <w:t>.8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2869AB" w:rsidRPr="00A5422F">
        <w:rPr>
          <w:rFonts w:ascii="仿宋_GB2312" w:eastAsia="仿宋_GB2312" w:hAnsi="仿宋"/>
          <w:color w:val="000000" w:themeColor="text1"/>
          <w:sz w:val="32"/>
          <w:szCs w:val="32"/>
        </w:rPr>
        <w:t>10.7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%。其中，限额以下住宿和餐饮业营业额</w:t>
      </w:r>
      <w:r w:rsidR="002869AB" w:rsidRPr="00A5422F">
        <w:rPr>
          <w:rFonts w:ascii="仿宋_GB2312" w:eastAsia="仿宋_GB2312" w:hAnsi="仿宋"/>
          <w:color w:val="000000" w:themeColor="text1"/>
          <w:sz w:val="32"/>
          <w:szCs w:val="32"/>
        </w:rPr>
        <w:t>92.9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2869AB" w:rsidRPr="00A5422F">
        <w:rPr>
          <w:rFonts w:ascii="仿宋_GB2312" w:eastAsia="仿宋_GB2312" w:hAnsi="仿宋"/>
          <w:color w:val="000000" w:themeColor="text1"/>
          <w:sz w:val="32"/>
          <w:szCs w:val="32"/>
        </w:rPr>
        <w:t>11.5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%，占全区营业额的</w:t>
      </w:r>
      <w:r w:rsidR="002869AB" w:rsidRPr="00A5422F">
        <w:rPr>
          <w:rFonts w:ascii="仿宋_GB2312" w:eastAsia="仿宋_GB2312" w:hAnsi="仿宋"/>
          <w:color w:val="000000" w:themeColor="text1"/>
          <w:sz w:val="32"/>
          <w:szCs w:val="32"/>
        </w:rPr>
        <w:t>95.0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%；限额以上住宿和餐饮业营业额</w:t>
      </w:r>
      <w:r w:rsidR="00DF7B6E" w:rsidRPr="00A5422F">
        <w:rPr>
          <w:rFonts w:ascii="仿宋_GB2312" w:eastAsia="仿宋_GB2312" w:hAnsi="仿宋"/>
          <w:color w:val="000000" w:themeColor="text1"/>
          <w:sz w:val="32"/>
          <w:szCs w:val="32"/>
        </w:rPr>
        <w:t>4.9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亿元。</w:t>
      </w:r>
    </w:p>
    <w:p w:rsidR="006E4262" w:rsidRPr="00A40A0B" w:rsidRDefault="006E4262" w:rsidP="006E4262">
      <w:pPr>
        <w:spacing w:line="560" w:lineRule="exact"/>
        <w:ind w:firstLineChars="199" w:firstLine="637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六、交通运输</w:t>
      </w:r>
      <w:r w:rsidR="001179C6">
        <w:rPr>
          <w:rFonts w:ascii="黑体" w:eastAsia="黑体" w:hAnsi="黑体" w:hint="eastAsia"/>
          <w:color w:val="000000" w:themeColor="text1"/>
          <w:sz w:val="32"/>
          <w:szCs w:val="32"/>
        </w:rPr>
        <w:t>业</w:t>
      </w:r>
    </w:p>
    <w:p w:rsidR="006E4262" w:rsidRPr="00A5422F" w:rsidRDefault="006E4262" w:rsidP="006E426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全年交通运输、仓储和邮政业增加值</w:t>
      </w:r>
      <w:r w:rsidR="00A22A8B" w:rsidRPr="00A5422F">
        <w:rPr>
          <w:rFonts w:ascii="仿宋_GB2312" w:eastAsia="仿宋_GB2312" w:hAnsi="仿宋"/>
          <w:color w:val="000000" w:themeColor="text1"/>
          <w:sz w:val="32"/>
          <w:szCs w:val="32"/>
        </w:rPr>
        <w:t>74.8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亿元，可比价增长</w:t>
      </w:r>
      <w:r w:rsidR="00A22A8B" w:rsidRPr="00A5422F">
        <w:rPr>
          <w:rFonts w:ascii="仿宋_GB2312" w:eastAsia="仿宋_GB2312" w:hAnsi="仿宋"/>
          <w:color w:val="000000" w:themeColor="text1"/>
          <w:sz w:val="32"/>
          <w:szCs w:val="32"/>
        </w:rPr>
        <w:t>21.3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6E4262" w:rsidRPr="00950263" w:rsidRDefault="006E4262" w:rsidP="006E426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0"/>
          <w:szCs w:val="30"/>
        </w:rPr>
      </w:pPr>
      <w:r w:rsidRPr="00950263">
        <w:rPr>
          <w:rFonts w:ascii="仿宋_GB2312" w:eastAsia="仿宋_GB2312" w:hAnsi="仿宋" w:hint="eastAsia"/>
          <w:b/>
          <w:sz w:val="32"/>
          <w:szCs w:val="32"/>
        </w:rPr>
        <w:t>交通运输</w:t>
      </w:r>
      <w:r w:rsidR="00FD3D54">
        <w:rPr>
          <w:rFonts w:ascii="仿宋_GB2312" w:eastAsia="仿宋_GB2312" w:hAnsi="仿宋" w:hint="eastAsia"/>
          <w:b/>
          <w:sz w:val="32"/>
          <w:szCs w:val="32"/>
        </w:rPr>
        <w:t>业</w:t>
      </w:r>
      <w:r w:rsidR="00FD3D54">
        <w:rPr>
          <w:rFonts w:ascii="仿宋_GB2312" w:eastAsia="仿宋_GB2312" w:hAnsi="仿宋"/>
          <w:b/>
          <w:sz w:val="32"/>
          <w:szCs w:val="32"/>
        </w:rPr>
        <w:t>稳步</w:t>
      </w:r>
      <w:r w:rsidR="00FD3D54">
        <w:rPr>
          <w:rFonts w:ascii="仿宋_GB2312" w:eastAsia="仿宋_GB2312" w:hAnsi="仿宋" w:hint="eastAsia"/>
          <w:b/>
          <w:sz w:val="32"/>
          <w:szCs w:val="32"/>
        </w:rPr>
        <w:t>发展</w:t>
      </w:r>
      <w:r w:rsidR="00FD3D54">
        <w:rPr>
          <w:rFonts w:ascii="仿宋_GB2312" w:eastAsia="仿宋_GB2312" w:hAnsi="仿宋"/>
          <w:b/>
          <w:sz w:val="32"/>
          <w:szCs w:val="32"/>
        </w:rPr>
        <w:t>。</w:t>
      </w:r>
      <w:r w:rsidR="00D8567F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D8567F">
        <w:rPr>
          <w:rFonts w:ascii="仿宋_GB2312" w:eastAsia="仿宋_GB2312" w:hAnsi="仿宋"/>
          <w:color w:val="000000" w:themeColor="text1"/>
          <w:sz w:val="32"/>
          <w:szCs w:val="32"/>
        </w:rPr>
        <w:t>018</w:t>
      </w:r>
      <w:r w:rsidR="00D8567F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ED541D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全区规上交通运输业企业实现营业收入</w:t>
      </w:r>
      <w:r w:rsidR="00B8035D" w:rsidRPr="00A5422F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69.1</w:t>
      </w:r>
      <w:r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亿元，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下降</w:t>
      </w:r>
      <w:r w:rsidR="00B8035D" w:rsidRPr="00A5422F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0.9</w:t>
      </w:r>
      <w:r w:rsidRPr="00A5422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%</w:t>
      </w:r>
      <w:r w:rsidR="00FD263B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，</w:t>
      </w:r>
      <w:r w:rsidR="00FD263B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降幅</w:t>
      </w:r>
      <w:r w:rsidR="00D8567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同比</w:t>
      </w:r>
      <w:r w:rsidR="00FD263B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收窄</w:t>
      </w:r>
      <w:r w:rsidR="00FD263B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34.6个</w:t>
      </w:r>
      <w:r w:rsidR="00FD263B"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  <w:t>百分点</w:t>
      </w:r>
      <w:r w:rsidR="00D8567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；</w:t>
      </w:r>
      <w:r w:rsidR="00D8567F">
        <w:rPr>
          <w:rFonts w:ascii="仿宋_GB2312" w:eastAsia="仿宋_GB2312" w:hAnsi="仿宋" w:hint="eastAsia"/>
          <w:color w:val="000000" w:themeColor="text1"/>
          <w:sz w:val="32"/>
          <w:szCs w:val="32"/>
        </w:rPr>
        <w:t>规上交通业利润增长30.9</w:t>
      </w:r>
      <w:r w:rsidR="00D8567F">
        <w:rPr>
          <w:rFonts w:ascii="仿宋_GB2312" w:eastAsia="仿宋_GB2312" w:hAnsi="仿宋"/>
          <w:color w:val="000000" w:themeColor="text1"/>
          <w:sz w:val="32"/>
          <w:szCs w:val="32"/>
        </w:rPr>
        <w:t>%</w:t>
      </w:r>
      <w:r w:rsidR="0035649C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D8567F">
        <w:rPr>
          <w:rFonts w:ascii="仿宋_GB2312" w:eastAsia="仿宋_GB2312" w:hAnsi="仿宋" w:hint="eastAsia"/>
          <w:color w:val="000000" w:themeColor="text1"/>
          <w:sz w:val="32"/>
          <w:szCs w:val="32"/>
        </w:rPr>
        <w:t>同比</w:t>
      </w:r>
      <w:r w:rsidR="00D8567F">
        <w:rPr>
          <w:rFonts w:ascii="仿宋_GB2312" w:eastAsia="仿宋_GB2312" w:hAnsi="仿宋"/>
          <w:color w:val="000000" w:themeColor="text1"/>
          <w:sz w:val="32"/>
          <w:szCs w:val="32"/>
        </w:rPr>
        <w:t>提高</w:t>
      </w:r>
      <w:r w:rsidR="00D8567F">
        <w:rPr>
          <w:rFonts w:ascii="仿宋_GB2312" w:eastAsia="仿宋_GB2312" w:hAnsi="仿宋" w:hint="eastAsia"/>
          <w:color w:val="000000" w:themeColor="text1"/>
          <w:sz w:val="32"/>
          <w:szCs w:val="32"/>
        </w:rPr>
        <w:t>7.3个</w:t>
      </w:r>
      <w:r w:rsidR="00D8567F">
        <w:rPr>
          <w:rFonts w:ascii="仿宋_GB2312" w:eastAsia="仿宋_GB2312" w:hAnsi="仿宋"/>
          <w:color w:val="000000" w:themeColor="text1"/>
          <w:sz w:val="32"/>
          <w:szCs w:val="32"/>
        </w:rPr>
        <w:t>百分点。</w:t>
      </w:r>
      <w:r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分行业看：道路运输业、</w:t>
      </w:r>
      <w:r w:rsidR="00D8567F"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仓储业、</w:t>
      </w:r>
      <w:r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航空运输业占主导，</w:t>
      </w:r>
      <w:r w:rsidR="00950263">
        <w:rPr>
          <w:rFonts w:ascii="仿宋_GB2312" w:eastAsia="仿宋_GB2312" w:hAnsi="仿宋" w:cs="仿宋" w:hint="eastAsia"/>
          <w:kern w:val="0"/>
          <w:sz w:val="32"/>
          <w:szCs w:val="32"/>
        </w:rPr>
        <w:t>收入</w:t>
      </w:r>
      <w:r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分别占规上交通运输业的</w:t>
      </w:r>
      <w:r w:rsidR="00D8567F" w:rsidRPr="00D8567F">
        <w:rPr>
          <w:rFonts w:ascii="仿宋_GB2312" w:eastAsia="仿宋_GB2312" w:hAnsi="仿宋" w:cs="仿宋"/>
          <w:kern w:val="0"/>
          <w:sz w:val="32"/>
          <w:szCs w:val="32"/>
        </w:rPr>
        <w:t>45.7</w:t>
      </w:r>
      <w:r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%</w:t>
      </w:r>
      <w:r w:rsidR="00D8567F"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D8567F" w:rsidRPr="00D8567F">
        <w:rPr>
          <w:rFonts w:ascii="仿宋_GB2312" w:eastAsia="仿宋_GB2312" w:hAnsi="仿宋" w:cs="仿宋"/>
          <w:kern w:val="0"/>
          <w:sz w:val="32"/>
          <w:szCs w:val="32"/>
        </w:rPr>
        <w:t>24.8</w:t>
      </w:r>
      <w:r w:rsidR="00D8567F"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%</w:t>
      </w:r>
      <w:r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D8567F" w:rsidRPr="00D8567F">
        <w:rPr>
          <w:rFonts w:ascii="仿宋_GB2312" w:eastAsia="仿宋_GB2312" w:hAnsi="仿宋" w:cs="仿宋"/>
          <w:kern w:val="0"/>
          <w:sz w:val="32"/>
          <w:szCs w:val="32"/>
        </w:rPr>
        <w:t>22.6</w:t>
      </w:r>
      <w:r w:rsidRPr="00D8567F">
        <w:rPr>
          <w:rFonts w:ascii="仿宋_GB2312" w:eastAsia="仿宋_GB2312" w:hAnsi="仿宋" w:cs="仿宋" w:hint="eastAsia"/>
          <w:kern w:val="0"/>
          <w:sz w:val="32"/>
          <w:szCs w:val="32"/>
        </w:rPr>
        <w:t>%。</w:t>
      </w:r>
      <w:r w:rsidRPr="00950263">
        <w:rPr>
          <w:rFonts w:ascii="仿宋_GB2312" w:eastAsia="仿宋_GB2312" w:hAnsi="仿宋" w:hint="eastAsia"/>
          <w:kern w:val="0"/>
          <w:sz w:val="32"/>
          <w:szCs w:val="32"/>
        </w:rPr>
        <w:t>年末拥有营运汽车</w:t>
      </w:r>
      <w:r w:rsidR="00950263" w:rsidRPr="00950263">
        <w:rPr>
          <w:rFonts w:ascii="仿宋_GB2312" w:eastAsia="仿宋_GB2312" w:hAnsi="仿宋"/>
          <w:kern w:val="0"/>
          <w:sz w:val="32"/>
          <w:szCs w:val="32"/>
        </w:rPr>
        <w:t>11135</w:t>
      </w:r>
      <w:r w:rsidRPr="00950263">
        <w:rPr>
          <w:rFonts w:ascii="仿宋_GB2312" w:eastAsia="仿宋_GB2312" w:hAnsi="仿宋" w:hint="eastAsia"/>
          <w:kern w:val="0"/>
          <w:sz w:val="32"/>
          <w:szCs w:val="32"/>
        </w:rPr>
        <w:t>辆，吨位数达到</w:t>
      </w:r>
      <w:r w:rsidR="00950263" w:rsidRPr="00950263">
        <w:rPr>
          <w:rFonts w:ascii="仿宋_GB2312" w:eastAsia="仿宋_GB2312" w:hAnsi="仿宋"/>
          <w:kern w:val="0"/>
          <w:sz w:val="32"/>
          <w:szCs w:val="32"/>
        </w:rPr>
        <w:t>10.56</w:t>
      </w:r>
      <w:r w:rsidRPr="00950263">
        <w:rPr>
          <w:rFonts w:ascii="仿宋_GB2312" w:eastAsia="仿宋_GB2312" w:hAnsi="仿宋" w:hint="eastAsia"/>
          <w:kern w:val="0"/>
          <w:sz w:val="32"/>
          <w:szCs w:val="32"/>
        </w:rPr>
        <w:t>万吨。</w:t>
      </w:r>
    </w:p>
    <w:p w:rsidR="006E4262" w:rsidRPr="00A40A0B" w:rsidRDefault="006E4262" w:rsidP="006E4262">
      <w:pPr>
        <w:spacing w:line="560" w:lineRule="exact"/>
        <w:ind w:firstLineChars="199" w:firstLine="637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七、金融</w:t>
      </w:r>
    </w:p>
    <w:p w:rsidR="006E4262" w:rsidRPr="00A5422F" w:rsidRDefault="006E4262" w:rsidP="006E4262">
      <w:pPr>
        <w:adjustRightInd w:val="0"/>
        <w:snapToGrid w:val="0"/>
        <w:spacing w:line="560" w:lineRule="exact"/>
        <w:ind w:firstLineChars="192" w:firstLine="614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全年金融业增加值</w:t>
      </w:r>
      <w:r w:rsidR="00A22A8B" w:rsidRPr="00A5422F">
        <w:rPr>
          <w:rFonts w:ascii="仿宋_GB2312" w:eastAsia="仿宋_GB2312" w:hAnsi="仿宋"/>
          <w:color w:val="000000" w:themeColor="text1"/>
          <w:sz w:val="32"/>
          <w:szCs w:val="32"/>
        </w:rPr>
        <w:t>54.4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亿元，可比价</w:t>
      </w:r>
      <w:r w:rsidR="00A22A8B"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下降0.6</w:t>
      </w:r>
      <w:r w:rsidRPr="00A5422F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6E4262" w:rsidRPr="003C1FA3" w:rsidRDefault="006E4262" w:rsidP="006E4262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仿宋"/>
          <w:color w:val="385623" w:themeColor="accent6" w:themeShade="80"/>
          <w:kern w:val="0"/>
          <w:sz w:val="32"/>
          <w:szCs w:val="32"/>
        </w:rPr>
      </w:pPr>
      <w:r w:rsidRPr="00A5422F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金融市场基本稳定。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年末全区各项存款余额达到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922.7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亿元，比上年</w:t>
      </w:r>
      <w:r w:rsidR="003C1FA3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下降6.4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%，净</w:t>
      </w:r>
      <w:r w:rsidR="003C1FA3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减63.2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亿元；其中，企业存款为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425.1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1179C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、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下降</w:t>
      </w:r>
      <w:r w:rsidR="003C1FA3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18.2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%，居民储蓄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495.8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1179C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、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增长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6.8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%。全区各项贷款余额达到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833.1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亿元，比上年增长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7.0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%，新增贷款额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54.4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lastRenderedPageBreak/>
        <w:t>亿元；其中企业贷款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569.1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</w:t>
      </w:r>
      <w:r w:rsidR="003C1FA3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增长2.8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%，新增贷款额</w:t>
      </w:r>
      <w:r w:rsidR="003C1FA3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15.7</w:t>
      </w:r>
      <w:r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亿元。</w:t>
      </w:r>
    </w:p>
    <w:p w:rsidR="006E4262" w:rsidRPr="00A40A0B" w:rsidRDefault="006E4262" w:rsidP="006E4262">
      <w:pPr>
        <w:adjustRightInd w:val="0"/>
        <w:snapToGrid w:val="0"/>
        <w:spacing w:line="560" w:lineRule="exact"/>
        <w:ind w:firstLineChars="192" w:firstLine="614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八、开发开放和旅游业</w:t>
      </w:r>
    </w:p>
    <w:p w:rsidR="006E4262" w:rsidRPr="00287700" w:rsidRDefault="00950263" w:rsidP="006E4262">
      <w:pPr>
        <w:ind w:firstLineChars="199" w:firstLine="639"/>
        <w:rPr>
          <w:rFonts w:ascii="仿宋_GB2312" w:eastAsia="仿宋_GB2312" w:hAnsi="仿宋"/>
          <w:color w:val="385623" w:themeColor="accent6" w:themeShade="80"/>
          <w:kern w:val="0"/>
          <w:sz w:val="32"/>
          <w:szCs w:val="32"/>
        </w:rPr>
      </w:pPr>
      <w:r w:rsidRPr="00BF3D08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招商引资</w:t>
      </w:r>
      <w:r w:rsidRPr="00BF3D08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扎实推进。</w:t>
      </w:r>
      <w:r w:rsidR="001179C6" w:rsidRPr="001179C6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金茂智慧科学城、中昌数创智慧谷、浪潮信息等530个优质项目签约落地，中车不锈钢车体制造等27个项目开工建设，京东物流基地等20个项目竣工投产。</w:t>
      </w:r>
      <w:r w:rsidR="006E4262" w:rsidRPr="001179C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全年引进内资项目</w:t>
      </w:r>
      <w:r w:rsidR="00287700" w:rsidRPr="001179C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212</w:t>
      </w:r>
      <w:r w:rsidR="006E4262" w:rsidRPr="001179C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个，国内招商引资到位额</w:t>
      </w:r>
      <w:r w:rsidR="00287700" w:rsidRPr="001179C6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160.2</w:t>
      </w:r>
      <w:r w:rsidR="006E4262" w:rsidRPr="001179C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亿元。引</w:t>
      </w:r>
      <w:r w:rsidR="006E4262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进外资项目</w:t>
      </w:r>
      <w:r w:rsidR="00287700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9</w:t>
      </w:r>
      <w:r w:rsidR="006E4262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个，实际利用外资额</w:t>
      </w:r>
      <w:r w:rsidR="00287700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0.2</w:t>
      </w:r>
      <w:r w:rsidR="006E4262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亿美元。实现外贸出口总额</w:t>
      </w:r>
      <w:r w:rsidR="00287700" w:rsidRPr="00A5422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130.1</w:t>
      </w:r>
      <w:r w:rsidR="006E4262" w:rsidRPr="00A5422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亿元，比上年增</w:t>
      </w:r>
      <w:r w:rsidR="006E4262" w:rsidRPr="00950263">
        <w:rPr>
          <w:rFonts w:ascii="仿宋_GB2312" w:eastAsia="仿宋_GB2312" w:hAnsi="仿宋" w:hint="eastAsia"/>
          <w:kern w:val="0"/>
          <w:sz w:val="32"/>
          <w:szCs w:val="32"/>
        </w:rPr>
        <w:t>长</w:t>
      </w:r>
      <w:r w:rsidRPr="00950263">
        <w:rPr>
          <w:rFonts w:ascii="仿宋_GB2312" w:eastAsia="仿宋_GB2312" w:hAnsi="仿宋"/>
          <w:kern w:val="0"/>
          <w:sz w:val="32"/>
          <w:szCs w:val="32"/>
        </w:rPr>
        <w:t>0.1</w:t>
      </w:r>
      <w:r w:rsidR="006E4262" w:rsidRPr="00950263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6E4262" w:rsidRPr="00287700">
        <w:rPr>
          <w:rFonts w:ascii="仿宋_GB2312" w:eastAsia="仿宋_GB2312" w:hAnsi="仿宋" w:hint="eastAsia"/>
          <w:color w:val="385623" w:themeColor="accent6" w:themeShade="80"/>
          <w:kern w:val="0"/>
          <w:sz w:val="32"/>
          <w:szCs w:val="32"/>
        </w:rPr>
        <w:t>。</w:t>
      </w:r>
    </w:p>
    <w:p w:rsidR="006E4262" w:rsidRPr="00287700" w:rsidRDefault="006E4262" w:rsidP="006E4262">
      <w:pPr>
        <w:ind w:firstLineChars="199" w:firstLine="639"/>
        <w:rPr>
          <w:rFonts w:ascii="仿宋_GB2312" w:eastAsia="仿宋_GB2312" w:hAnsi="仿宋"/>
          <w:b/>
          <w:color w:val="FF0000"/>
          <w:sz w:val="32"/>
          <w:szCs w:val="32"/>
        </w:rPr>
      </w:pPr>
      <w:r w:rsidRPr="00F35153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旅游业健康发展。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全年接待游客总量</w:t>
      </w:r>
      <w:r w:rsidR="00F35153" w:rsidRPr="00F35153">
        <w:rPr>
          <w:rFonts w:ascii="仿宋_GB2312" w:eastAsia="仿宋_GB2312" w:hAnsi="仿宋"/>
          <w:color w:val="000000" w:themeColor="text1"/>
          <w:sz w:val="32"/>
          <w:szCs w:val="32"/>
        </w:rPr>
        <w:t>948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万人次</w:t>
      </w:r>
      <w:r w:rsidR="00F35153"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</w:t>
      </w:r>
      <w:r w:rsidR="00F35153"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,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景区景点接待</w:t>
      </w:r>
      <w:r w:rsidR="00F35153" w:rsidRPr="00F35153">
        <w:rPr>
          <w:rFonts w:ascii="仿宋_GB2312" w:eastAsia="仿宋_GB2312" w:hAnsi="仿宋"/>
          <w:color w:val="000000" w:themeColor="text1"/>
          <w:sz w:val="32"/>
          <w:szCs w:val="32"/>
        </w:rPr>
        <w:t>260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万人次，宾馆饭店接待</w:t>
      </w:r>
      <w:r w:rsidR="00F35153" w:rsidRPr="00F35153">
        <w:rPr>
          <w:rFonts w:ascii="仿宋_GB2312" w:eastAsia="仿宋_GB2312" w:hAnsi="仿宋"/>
          <w:color w:val="000000" w:themeColor="text1"/>
          <w:sz w:val="32"/>
          <w:szCs w:val="32"/>
        </w:rPr>
        <w:t>204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万人次。旅游综合收入</w:t>
      </w:r>
      <w:r w:rsidR="00F35153" w:rsidRPr="00F35153">
        <w:rPr>
          <w:rFonts w:ascii="仿宋_GB2312" w:eastAsia="仿宋_GB2312" w:hAnsi="仿宋"/>
          <w:color w:val="000000" w:themeColor="text1"/>
          <w:sz w:val="32"/>
          <w:szCs w:val="32"/>
        </w:rPr>
        <w:t>18.66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亿元，其中景区景点综合收入3.5</w:t>
      </w:r>
      <w:r w:rsidR="00F35153" w:rsidRPr="00F35153">
        <w:rPr>
          <w:rFonts w:ascii="仿宋_GB2312" w:eastAsia="仿宋_GB2312" w:hAnsi="仿宋"/>
          <w:color w:val="000000" w:themeColor="text1"/>
          <w:sz w:val="32"/>
          <w:szCs w:val="32"/>
        </w:rPr>
        <w:t>5</w:t>
      </w:r>
      <w:r w:rsidRPr="00F35153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亿元。</w:t>
      </w:r>
      <w:r w:rsidRPr="00287700">
        <w:rPr>
          <w:rFonts w:ascii="仿宋_GB2312" w:eastAsia="仿宋_GB2312" w:hAnsi="仿宋" w:hint="eastAsia"/>
          <w:b/>
          <w:color w:val="FF0000"/>
          <w:sz w:val="32"/>
          <w:szCs w:val="32"/>
        </w:rPr>
        <w:t xml:space="preserve"> </w:t>
      </w:r>
    </w:p>
    <w:p w:rsidR="006E4262" w:rsidRPr="00A40A0B" w:rsidRDefault="006E4262" w:rsidP="006E4262">
      <w:pPr>
        <w:adjustRightInd w:val="0"/>
        <w:snapToGrid w:val="0"/>
        <w:spacing w:line="560" w:lineRule="exact"/>
        <w:ind w:firstLineChars="192" w:firstLine="614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九、教育和科学技术</w:t>
      </w:r>
    </w:p>
    <w:p w:rsidR="006E4262" w:rsidRPr="000678CA" w:rsidRDefault="006E4262" w:rsidP="006E4262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9E27B1">
        <w:rPr>
          <w:rFonts w:ascii="仿宋_GB2312" w:eastAsia="仿宋_GB2312" w:hint="eastAsia"/>
          <w:b/>
          <w:color w:val="000000" w:themeColor="text1"/>
          <w:sz w:val="32"/>
          <w:szCs w:val="32"/>
        </w:rPr>
        <w:t>教育</w:t>
      </w:r>
      <w:r w:rsidR="00BF3D08" w:rsidRPr="009E27B1">
        <w:rPr>
          <w:rFonts w:ascii="仿宋_GB2312" w:eastAsia="仿宋_GB2312" w:hint="eastAsia"/>
          <w:b/>
          <w:color w:val="000000" w:themeColor="text1"/>
          <w:sz w:val="32"/>
          <w:szCs w:val="32"/>
        </w:rPr>
        <w:t>事业快速</w:t>
      </w:r>
      <w:r w:rsidR="00BF3D08" w:rsidRPr="009E27B1">
        <w:rPr>
          <w:rFonts w:ascii="仿宋_GB2312" w:eastAsia="仿宋_GB2312"/>
          <w:b/>
          <w:color w:val="000000" w:themeColor="text1"/>
          <w:sz w:val="32"/>
          <w:szCs w:val="32"/>
        </w:rPr>
        <w:t>发展</w:t>
      </w:r>
      <w:r w:rsidRPr="009E27B1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="00A359BD"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 w:rsidR="00A359BD" w:rsidRPr="009E27B1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018</w:t>
      </w:r>
      <w:r w:rsidR="00A359BD"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年，</w:t>
      </w:r>
      <w:r w:rsidR="003554F5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建成18所学校、幼儿园，提升改造29所学校环境设施。加强“一校一品”建设，提升义务教育学校校际共同体内涵，推进学前教育“公办带民办”联动发展。</w:t>
      </w:r>
      <w:r w:rsidR="00A359BD"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全区现有</w:t>
      </w:r>
      <w:r w:rsidR="00A359BD" w:rsidRPr="009E27B1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普通中学</w:t>
      </w:r>
      <w:r w:rsidR="00A359BD"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19所</w:t>
      </w:r>
      <w:r w:rsidR="00A359BD" w:rsidRPr="009E27B1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招生</w:t>
      </w:r>
      <w:r w:rsidR="00300B7F" w:rsidRPr="009E27B1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4893</w:t>
      </w:r>
      <w:r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在校生</w:t>
      </w:r>
      <w:r w:rsidR="00300B7F" w:rsidRPr="009E27B1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14558</w:t>
      </w:r>
      <w:r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9E27B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毕业生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4351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职业学校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1所</w:t>
      </w:r>
      <w:r w:rsidR="00A359BD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招生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899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在校生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3194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毕业生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1301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小学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37所</w:t>
      </w:r>
      <w:r w:rsidR="00A359BD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招生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4926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在校生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26518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毕业生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3676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特殊教育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学校1所</w:t>
      </w:r>
      <w:r w:rsidR="00A359BD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招生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14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在校生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206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毕业生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44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，幼儿园47所</w:t>
      </w:r>
      <w:r w:rsidR="00A359BD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招生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3430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在园幼儿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9166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A359BD"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毕业幼儿</w:t>
      </w:r>
      <w:r w:rsidR="00300B7F" w:rsidRPr="00A359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2331</w:t>
      </w:r>
      <w:r w:rsidRPr="00A359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人。</w:t>
      </w:r>
    </w:p>
    <w:p w:rsidR="006E4262" w:rsidRPr="0069719A" w:rsidRDefault="006E4262" w:rsidP="006E4262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E27B1">
        <w:rPr>
          <w:rFonts w:ascii="仿宋_GB2312" w:eastAsia="仿宋_GB2312" w:hint="eastAsia"/>
          <w:b/>
          <w:snapToGrid w:val="0"/>
          <w:color w:val="000000" w:themeColor="text1"/>
          <w:sz w:val="32"/>
          <w:szCs w:val="32"/>
        </w:rPr>
        <w:lastRenderedPageBreak/>
        <w:t>科技</w:t>
      </w:r>
      <w:r w:rsidR="00BF3D08" w:rsidRPr="009E27B1">
        <w:rPr>
          <w:rFonts w:ascii="仿宋_GB2312" w:eastAsia="仿宋_GB2312" w:hint="eastAsia"/>
          <w:b/>
          <w:snapToGrid w:val="0"/>
          <w:color w:val="000000" w:themeColor="text1"/>
          <w:sz w:val="32"/>
          <w:szCs w:val="32"/>
        </w:rPr>
        <w:t>事业</w:t>
      </w:r>
      <w:r w:rsidR="00ED541D" w:rsidRPr="009E27B1">
        <w:rPr>
          <w:rFonts w:ascii="仿宋_GB2312" w:eastAsia="仿宋_GB2312" w:hint="eastAsia"/>
          <w:b/>
          <w:snapToGrid w:val="0"/>
          <w:color w:val="000000" w:themeColor="text1"/>
          <w:sz w:val="32"/>
          <w:szCs w:val="32"/>
        </w:rPr>
        <w:t>再上</w:t>
      </w:r>
      <w:r w:rsidR="00ED541D" w:rsidRPr="009E27B1">
        <w:rPr>
          <w:rFonts w:ascii="仿宋_GB2312" w:eastAsia="仿宋_GB2312"/>
          <w:b/>
          <w:snapToGrid w:val="0"/>
          <w:color w:val="000000" w:themeColor="text1"/>
          <w:sz w:val="32"/>
          <w:szCs w:val="32"/>
        </w:rPr>
        <w:t>新水平</w:t>
      </w:r>
      <w:r w:rsidRPr="009E27B1">
        <w:rPr>
          <w:rFonts w:ascii="仿宋_GB2312" w:eastAsia="仿宋_GB2312"/>
          <w:b/>
          <w:snapToGrid w:val="0"/>
          <w:color w:val="000000" w:themeColor="text1"/>
          <w:sz w:val="32"/>
          <w:szCs w:val="32"/>
        </w:rPr>
        <w:t>。</w:t>
      </w:r>
      <w:r w:rsidR="00ED541D" w:rsidRPr="009E27B1">
        <w:rPr>
          <w:rFonts w:ascii="仿宋_GB2312" w:eastAsia="仿宋_GB2312" w:hint="eastAsia"/>
          <w:b/>
          <w:snapToGrid w:val="0"/>
          <w:color w:val="000000" w:themeColor="text1"/>
          <w:sz w:val="32"/>
          <w:szCs w:val="32"/>
        </w:rPr>
        <w:t>2018年</w:t>
      </w:r>
      <w:r w:rsidR="00ED541D" w:rsidRPr="009E27B1">
        <w:rPr>
          <w:rFonts w:ascii="仿宋_GB2312" w:eastAsia="仿宋_GB2312"/>
          <w:b/>
          <w:snapToGrid w:val="0"/>
          <w:color w:val="000000" w:themeColor="text1"/>
          <w:sz w:val="32"/>
          <w:szCs w:val="32"/>
        </w:rPr>
        <w:t>，</w:t>
      </w:r>
      <w:r w:rsidR="00797B64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出台促进智能科技产业发展12条政策措施，建设汽车自动驾驶系统、机器人生产线、电梯研发制造等产业化平台，新增智能制造项目52项、战略新兴产业企业19家，317家企业创新转型。国家自主创新示范区东丽分园建成市级以上创新平台88家，全区新增科技型中小企业</w:t>
      </w:r>
      <w:r w:rsidR="007341D6">
        <w:rPr>
          <w:rFonts w:ascii="仿宋_GB2312" w:eastAsia="仿宋_GB2312" w:hAnsi="仿宋_GB2312" w:cs="仿宋_GB2312"/>
          <w:snapToGrid w:val="0"/>
          <w:color w:val="000000" w:themeColor="text1"/>
          <w:kern w:val="32"/>
          <w:sz w:val="32"/>
          <w:szCs w:val="32"/>
        </w:rPr>
        <w:t>436</w:t>
      </w:r>
      <w:r w:rsidR="00797B64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家、国家级高新技术企业63家。与中国民航大学、海航集团开展战略合作，为民航科技产业和临空产业发展打下基础。</w:t>
      </w:r>
      <w:r w:rsidRPr="009E27B1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全年专利申请</w:t>
      </w:r>
      <w:r w:rsidR="004151BA" w:rsidRPr="009E27B1">
        <w:rPr>
          <w:rFonts w:ascii="仿宋_GB2312" w:eastAsia="仿宋_GB2312" w:hAnsi="仿宋"/>
          <w:color w:val="000000" w:themeColor="text1"/>
          <w:sz w:val="32"/>
          <w:szCs w:val="32"/>
        </w:rPr>
        <w:t>4600</w:t>
      </w:r>
      <w:r w:rsidRPr="009E27B1">
        <w:rPr>
          <w:rFonts w:ascii="仿宋_GB2312" w:eastAsia="仿宋_GB2312" w:hAnsi="仿宋" w:hint="eastAsia"/>
          <w:color w:val="000000" w:themeColor="text1"/>
          <w:sz w:val="32"/>
          <w:szCs w:val="32"/>
        </w:rPr>
        <w:t>件</w:t>
      </w:r>
      <w:r w:rsidR="004151BA" w:rsidRPr="009E27B1">
        <w:rPr>
          <w:rFonts w:ascii="仿宋_GB2312" w:eastAsia="仿宋_GB2312" w:hAnsi="仿宋" w:hint="eastAsia"/>
          <w:color w:val="000000" w:themeColor="text1"/>
          <w:sz w:val="32"/>
          <w:szCs w:val="32"/>
        </w:rPr>
        <w:t>，其中发明专利</w:t>
      </w:r>
      <w:r w:rsidR="004151BA" w:rsidRPr="009E27B1">
        <w:rPr>
          <w:rFonts w:ascii="仿宋_GB2312" w:eastAsia="仿宋_GB2312" w:hAnsi="仿宋"/>
          <w:color w:val="000000" w:themeColor="text1"/>
          <w:sz w:val="32"/>
          <w:szCs w:val="32"/>
        </w:rPr>
        <w:t>1097</w:t>
      </w:r>
      <w:r w:rsidR="004151BA" w:rsidRPr="009E27B1">
        <w:rPr>
          <w:rFonts w:ascii="仿宋_GB2312" w:eastAsia="仿宋_GB2312" w:hAnsi="仿宋" w:hint="eastAsia"/>
          <w:color w:val="000000" w:themeColor="text1"/>
          <w:sz w:val="32"/>
          <w:szCs w:val="32"/>
        </w:rPr>
        <w:t>件，实用新型专利</w:t>
      </w:r>
      <w:r w:rsidR="004151BA" w:rsidRPr="009E27B1">
        <w:rPr>
          <w:rFonts w:ascii="仿宋_GB2312" w:eastAsia="仿宋_GB2312" w:hAnsi="仿宋"/>
          <w:color w:val="000000" w:themeColor="text1"/>
          <w:sz w:val="32"/>
          <w:szCs w:val="32"/>
        </w:rPr>
        <w:t>3330</w:t>
      </w:r>
      <w:r w:rsidR="004151BA" w:rsidRPr="00A359BD">
        <w:rPr>
          <w:rFonts w:ascii="仿宋_GB2312" w:eastAsia="仿宋_GB2312" w:hAnsi="仿宋" w:hint="eastAsia"/>
          <w:color w:val="000000" w:themeColor="text1"/>
          <w:sz w:val="32"/>
          <w:szCs w:val="32"/>
        </w:rPr>
        <w:t>件</w:t>
      </w:r>
      <w:r w:rsidRPr="00A359BD">
        <w:rPr>
          <w:rFonts w:ascii="仿宋_GB2312" w:eastAsia="仿宋_GB2312" w:hAnsi="仿宋" w:hint="eastAsia"/>
          <w:color w:val="000000" w:themeColor="text1"/>
          <w:sz w:val="32"/>
          <w:szCs w:val="32"/>
        </w:rPr>
        <w:t>；专利授权</w:t>
      </w:r>
      <w:r w:rsidR="004151BA" w:rsidRPr="00A359BD">
        <w:rPr>
          <w:rFonts w:ascii="仿宋_GB2312" w:eastAsia="仿宋_GB2312" w:hAnsi="仿宋"/>
          <w:color w:val="000000" w:themeColor="text1"/>
          <w:sz w:val="32"/>
          <w:szCs w:val="32"/>
        </w:rPr>
        <w:t>2698</w:t>
      </w:r>
      <w:r w:rsidRPr="00A359BD">
        <w:rPr>
          <w:rFonts w:ascii="仿宋_GB2312" w:eastAsia="仿宋_GB2312" w:hAnsi="仿宋" w:hint="eastAsia"/>
          <w:color w:val="000000" w:themeColor="text1"/>
          <w:sz w:val="32"/>
          <w:szCs w:val="32"/>
        </w:rPr>
        <w:t>件，其中发明专利</w:t>
      </w:r>
      <w:r w:rsidR="004151BA" w:rsidRPr="00A359BD">
        <w:rPr>
          <w:rFonts w:ascii="仿宋_GB2312" w:eastAsia="仿宋_GB2312" w:hAnsi="仿宋"/>
          <w:color w:val="000000" w:themeColor="text1"/>
          <w:sz w:val="32"/>
          <w:szCs w:val="32"/>
        </w:rPr>
        <w:t>273</w:t>
      </w:r>
      <w:r w:rsidRPr="00A359BD">
        <w:rPr>
          <w:rFonts w:ascii="仿宋_GB2312" w:eastAsia="仿宋_GB2312" w:hAnsi="仿宋" w:hint="eastAsia"/>
          <w:color w:val="000000" w:themeColor="text1"/>
          <w:sz w:val="32"/>
          <w:szCs w:val="32"/>
        </w:rPr>
        <w:t>件，实用</w:t>
      </w:r>
      <w:r w:rsidR="004151BA" w:rsidRPr="00A359BD">
        <w:rPr>
          <w:rFonts w:ascii="仿宋_GB2312" w:eastAsia="仿宋_GB2312" w:hAnsi="仿宋" w:hint="eastAsia"/>
          <w:color w:val="000000" w:themeColor="text1"/>
          <w:sz w:val="32"/>
          <w:szCs w:val="32"/>
        </w:rPr>
        <w:t>新型</w:t>
      </w:r>
      <w:r w:rsidRPr="00A359BD">
        <w:rPr>
          <w:rFonts w:ascii="仿宋_GB2312" w:eastAsia="仿宋_GB2312" w:hAnsi="仿宋" w:hint="eastAsia"/>
          <w:color w:val="000000" w:themeColor="text1"/>
          <w:sz w:val="32"/>
          <w:szCs w:val="32"/>
        </w:rPr>
        <w:t>专利</w:t>
      </w:r>
      <w:r w:rsidR="004151BA" w:rsidRPr="00A359BD">
        <w:rPr>
          <w:rFonts w:ascii="仿宋_GB2312" w:eastAsia="仿宋_GB2312" w:hAnsi="仿宋"/>
          <w:color w:val="000000" w:themeColor="text1"/>
          <w:sz w:val="32"/>
          <w:szCs w:val="32"/>
        </w:rPr>
        <w:t>2258</w:t>
      </w:r>
      <w:r w:rsidRPr="00A359BD">
        <w:rPr>
          <w:rFonts w:ascii="仿宋_GB2312" w:eastAsia="仿宋_GB2312" w:hAnsi="仿宋" w:hint="eastAsia"/>
          <w:color w:val="000000" w:themeColor="text1"/>
          <w:sz w:val="32"/>
          <w:szCs w:val="32"/>
        </w:rPr>
        <w:t>件。</w:t>
      </w:r>
    </w:p>
    <w:p w:rsidR="006E4262" w:rsidRPr="00A40A0B" w:rsidRDefault="00A10BCA" w:rsidP="006E4262">
      <w:pPr>
        <w:adjustRightInd w:val="0"/>
        <w:snapToGrid w:val="0"/>
        <w:spacing w:line="560" w:lineRule="exact"/>
        <w:ind w:firstLineChars="192" w:firstLine="614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十、卫生、文化和体育</w:t>
      </w:r>
    </w:p>
    <w:p w:rsidR="00A10BCA" w:rsidRDefault="002277BE" w:rsidP="006E4262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宋体" w:cs="宋体"/>
          <w:color w:val="385623" w:themeColor="accent6" w:themeShade="8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公共</w:t>
      </w:r>
      <w:r w:rsidR="00A10BCA"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卫生服务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水平持续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>提高</w:t>
      </w:r>
      <w:r w:rsidR="00A10BCA"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="00A10BCA" w:rsidRPr="00DB4918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提高卫生健康服务水平，持续加强疾病预防控制，组建家庭医生团队94个，重点人群签约率达到73%。提升中医药服务能力，建成两所国医堂。</w:t>
      </w:r>
      <w:r w:rsidR="00A10BCA" w:rsidRPr="00DB491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年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末卫生技术人员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1788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人，其中执业医师和执业助理医师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805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人，注册护士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435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药剂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和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检验人员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279人。年末全区实有床位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1173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张，医疗机构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58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个</w:t>
      </w:r>
      <w:r w:rsidR="00A10BCA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其中医院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10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个，社区卫生服务中心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10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个，门诊部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37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个，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妇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女儿童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保健和计划生育服务中心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1个。全年总诊疗人次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281.8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万次，健康检查人数</w:t>
      </w:r>
      <w:r w:rsidR="00A10BCA" w:rsidRPr="002277BE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4.1</w:t>
      </w:r>
      <w:r w:rsidR="00A10BCA" w:rsidRPr="002277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万人。</w:t>
      </w:r>
    </w:p>
    <w:p w:rsidR="00DA5D83" w:rsidRDefault="006E4262" w:rsidP="006E4262">
      <w:pPr>
        <w:adjustRightInd w:val="0"/>
        <w:snapToGrid w:val="0"/>
        <w:spacing w:line="560" w:lineRule="exact"/>
        <w:ind w:firstLineChars="192" w:firstLine="502"/>
        <w:rPr>
          <w:rFonts w:ascii="仿宋_GB2312" w:eastAsia="仿宋_GB2312"/>
          <w:sz w:val="32"/>
          <w:szCs w:val="32"/>
        </w:rPr>
      </w:pPr>
      <w:r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文化</w:t>
      </w:r>
      <w:r w:rsidR="00A10B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事业再创</w:t>
      </w:r>
      <w:r w:rsidR="00A10BCA">
        <w:rPr>
          <w:rFonts w:ascii="仿宋_GB2312" w:eastAsia="仿宋_GB2312" w:hAnsi="华文仿宋"/>
          <w:b/>
          <w:color w:val="000000" w:themeColor="text1"/>
          <w:spacing w:val="-30"/>
          <w:sz w:val="32"/>
          <w:szCs w:val="32"/>
        </w:rPr>
        <w:t>佳绩</w:t>
      </w:r>
      <w:r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。</w:t>
      </w:r>
      <w:r w:rsidR="009647D2" w:rsidRPr="00F35153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繁荣发展文化事业，东丽博物馆面向社会开放，提升改造2个社区综合文化服务中心，修缮泰山行宫、老姆庙，举办第十六届文化艺术节和庆祝改革开放四十周年系列文化活动，开展惠民演出</w:t>
      </w:r>
      <w:r w:rsidR="007341D6">
        <w:rPr>
          <w:rFonts w:ascii="仿宋_GB2312" w:eastAsia="仿宋_GB2312" w:hAnsi="仿宋_GB2312" w:cs="仿宋_GB2312"/>
          <w:snapToGrid w:val="0"/>
          <w:color w:val="000000" w:themeColor="text1"/>
          <w:kern w:val="32"/>
          <w:sz w:val="32"/>
          <w:szCs w:val="32"/>
        </w:rPr>
        <w:t>156</w:t>
      </w:r>
      <w:r w:rsidR="009647D2" w:rsidRPr="00F35153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场、公益文化培训</w:t>
      </w:r>
      <w:r w:rsidR="007341D6">
        <w:rPr>
          <w:rFonts w:ascii="仿宋_GB2312" w:eastAsia="仿宋_GB2312" w:hAnsi="仿宋_GB2312" w:cs="仿宋_GB2312"/>
          <w:snapToGrid w:val="0"/>
          <w:color w:val="000000" w:themeColor="text1"/>
          <w:kern w:val="32"/>
          <w:sz w:val="32"/>
          <w:szCs w:val="32"/>
        </w:rPr>
        <w:t>106</w:t>
      </w:r>
      <w:r w:rsidR="007341D6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场</w:t>
      </w:r>
      <w:r w:rsidR="009647D2" w:rsidRPr="00F35153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。</w:t>
      </w:r>
      <w:r w:rsidR="00DA5D83" w:rsidRPr="00A329D8">
        <w:rPr>
          <w:rFonts w:ascii="仿宋_GB2312" w:eastAsia="仿宋_GB2312" w:hint="eastAsia"/>
          <w:sz w:val="32"/>
          <w:szCs w:val="32"/>
        </w:rPr>
        <w:t>全区有博</w:t>
      </w:r>
      <w:r w:rsidR="00DA5D83" w:rsidRPr="00A329D8">
        <w:rPr>
          <w:rFonts w:ascii="仿宋_GB2312" w:eastAsia="仿宋_GB2312" w:hint="eastAsia"/>
          <w:sz w:val="32"/>
          <w:szCs w:val="32"/>
        </w:rPr>
        <w:lastRenderedPageBreak/>
        <w:t>物馆1个；图书馆1个，藏书26.58万册；每个街道有1个文化中心，社区综合性文化服务中心建成率达到79%。</w:t>
      </w:r>
    </w:p>
    <w:p w:rsidR="006E4262" w:rsidRPr="002277BE" w:rsidRDefault="006E4262" w:rsidP="006E4262">
      <w:pPr>
        <w:adjustRightInd w:val="0"/>
        <w:snapToGrid w:val="0"/>
        <w:spacing w:line="560" w:lineRule="exact"/>
        <w:ind w:firstLineChars="192" w:firstLine="502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体育</w:t>
      </w:r>
      <w:r w:rsidR="00A10B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事业</w:t>
      </w:r>
      <w:r w:rsidR="00F35153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繁荣发展</w:t>
      </w:r>
      <w:r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。</w:t>
      </w:r>
      <w:r w:rsidR="006F4860" w:rsidRPr="00F35153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建成3个全民健身活动中心、2个健身广场、19个社区健身园，开设全民健身暖心服务专场100场，发展健身队伍315支，举办世界名校水上系列赛等赛事活动，参加、承办天津市第十四届运动会部分项目，获得优秀组织、最佳赛区等荣誉。</w:t>
      </w:r>
    </w:p>
    <w:p w:rsidR="006E4262" w:rsidRPr="00A40A0B" w:rsidRDefault="006E4262" w:rsidP="00A10BCA">
      <w:pPr>
        <w:adjustRightInd w:val="0"/>
        <w:snapToGrid w:val="0"/>
        <w:spacing w:line="560" w:lineRule="exact"/>
        <w:ind w:firstLineChars="192" w:firstLine="614"/>
        <w:rPr>
          <w:rFonts w:ascii="黑体" w:eastAsia="黑体" w:hAnsi="黑体"/>
          <w:color w:val="000000" w:themeColor="text1"/>
          <w:sz w:val="32"/>
          <w:szCs w:val="32"/>
        </w:rPr>
      </w:pPr>
      <w:r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十一、</w:t>
      </w:r>
      <w:r w:rsidR="00ED541D" w:rsidRPr="00A40A0B">
        <w:rPr>
          <w:rFonts w:ascii="黑体" w:eastAsia="黑体" w:hAnsi="黑体" w:hint="eastAsia"/>
          <w:color w:val="000000" w:themeColor="text1"/>
          <w:sz w:val="32"/>
          <w:szCs w:val="32"/>
        </w:rPr>
        <w:t>公用事业和</w:t>
      </w:r>
      <w:r w:rsidR="00ED541D">
        <w:rPr>
          <w:rFonts w:ascii="黑体" w:eastAsia="黑体" w:hAnsi="黑体" w:hint="eastAsia"/>
          <w:color w:val="000000" w:themeColor="text1"/>
          <w:sz w:val="32"/>
          <w:szCs w:val="32"/>
        </w:rPr>
        <w:t>生态环保</w:t>
      </w:r>
    </w:p>
    <w:p w:rsidR="003554F5" w:rsidRDefault="003554F5" w:rsidP="006E4262">
      <w:pPr>
        <w:spacing w:line="560" w:lineRule="exact"/>
        <w:ind w:firstLineChars="200" w:firstLine="643"/>
        <w:rPr>
          <w:rFonts w:ascii="仿宋_GB2312" w:eastAsia="仿宋_GB2312" w:hAnsi="仿宋_GB2312" w:cs="仿宋_GB2312"/>
          <w:snapToGrid w:val="0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32"/>
          <w:sz w:val="32"/>
          <w:szCs w:val="32"/>
        </w:rPr>
        <w:t>基础设施建设</w:t>
      </w:r>
      <w:r w:rsidR="00A10BCA">
        <w:rPr>
          <w:rFonts w:ascii="仿宋_GB2312" w:eastAsia="仿宋_GB2312" w:hAnsi="仿宋_GB2312" w:cs="仿宋_GB2312" w:hint="eastAsia"/>
          <w:b/>
          <w:snapToGrid w:val="0"/>
          <w:kern w:val="32"/>
          <w:sz w:val="32"/>
          <w:szCs w:val="32"/>
        </w:rPr>
        <w:t>加快</w:t>
      </w:r>
      <w:r>
        <w:rPr>
          <w:rFonts w:ascii="仿宋_GB2312" w:eastAsia="仿宋_GB2312" w:hAnsi="仿宋_GB2312" w:cs="仿宋_GB2312" w:hint="eastAsia"/>
          <w:b/>
          <w:snapToGrid w:val="0"/>
          <w:kern w:val="32"/>
          <w:sz w:val="32"/>
          <w:szCs w:val="32"/>
        </w:rPr>
        <w:t>推进。</w:t>
      </w:r>
      <w:r w:rsidRPr="00A10BCA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完成海河东路等5条道路建设，山青道等6条道路实现开工，提升改造杨北公路等8条道路27公里，华新街域道路建设全部完成。</w:t>
      </w:r>
      <w:r w:rsidRPr="00A10BC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推动地铁11号线尽快进场施工，地铁4、10号线加快建设。</w:t>
      </w:r>
      <w:r w:rsidRPr="00A10BCA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实施军粮城发电厂六期220千伏电力工程等5个项目，金钟污水管线加紧施工，完成新立泵站改建。推进金钟示范镇等区域2平方公里海绵城市建设。</w:t>
      </w:r>
    </w:p>
    <w:p w:rsidR="006E4262" w:rsidRPr="009E27B1" w:rsidRDefault="006E4262" w:rsidP="00ED541D">
      <w:pPr>
        <w:spacing w:line="560" w:lineRule="exact"/>
        <w:ind w:firstLineChars="200" w:firstLine="643"/>
        <w:rPr>
          <w:rFonts w:ascii="仿宋_GB2312" w:eastAsia="仿宋_GB2312" w:hAnsi="仿宋_GB2312" w:cs="仿宋_GB2312"/>
          <w:snapToGrid w:val="0"/>
          <w:color w:val="000000" w:themeColor="text1"/>
          <w:kern w:val="32"/>
          <w:sz w:val="32"/>
          <w:szCs w:val="32"/>
        </w:rPr>
      </w:pPr>
      <w:r w:rsidRPr="009E27B1">
        <w:rPr>
          <w:rFonts w:ascii="仿宋_GB2312" w:eastAsia="仿宋_GB2312" w:hint="eastAsia"/>
          <w:b/>
          <w:color w:val="000000" w:themeColor="text1"/>
          <w:sz w:val="32"/>
          <w:szCs w:val="32"/>
        </w:rPr>
        <w:t>环保治理</w:t>
      </w:r>
      <w:r w:rsidR="00BF3D08" w:rsidRPr="009E27B1">
        <w:rPr>
          <w:rFonts w:ascii="仿宋_GB2312" w:eastAsia="仿宋_GB2312" w:hint="eastAsia"/>
          <w:b/>
          <w:color w:val="000000" w:themeColor="text1"/>
          <w:sz w:val="32"/>
          <w:szCs w:val="32"/>
        </w:rPr>
        <w:t>成效显著</w:t>
      </w:r>
      <w:r w:rsidRPr="009E27B1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="003554F5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取缔5个村级工业集聚区，完成2317家“散乱污”企业治理，落实控煤、控尘、控车、控工业污染等措施，PM</w:t>
      </w:r>
      <w:r w:rsidR="003554F5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  <w:vertAlign w:val="subscript"/>
        </w:rPr>
        <w:t>2.5</w:t>
      </w:r>
      <w:r w:rsidR="003554F5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浓度下降至</w:t>
      </w:r>
      <w:r w:rsidR="007341D6">
        <w:rPr>
          <w:rFonts w:ascii="仿宋_GB2312" w:eastAsia="仿宋_GB2312" w:hAnsi="仿宋_GB2312" w:cs="仿宋_GB2312"/>
          <w:snapToGrid w:val="0"/>
          <w:color w:val="000000" w:themeColor="text1"/>
          <w:kern w:val="32"/>
          <w:sz w:val="32"/>
          <w:szCs w:val="32"/>
        </w:rPr>
        <w:t>54</w:t>
      </w:r>
      <w:r w:rsidR="003554F5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微克/立方米</w:t>
      </w:r>
      <w:r w:rsidR="00080FC0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，</w:t>
      </w:r>
      <w:r w:rsidR="003554F5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重污染天气持续减少。深化河长制，修复西河、西减河、东河、月西河，综合整治街村沟渠60余条65公里，治理废水直排企业51家，启动外环河、月牙河水质提升项目，实施东河东减河连通工程，二级河道水质主要指标达到地表Ⅴ类水体标准。</w:t>
      </w:r>
      <w:r w:rsidR="00BF6852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t>启动绿色生态屏障规划建设，实施外环线调整线等绿化工程，完成造林1.45万亩，植树100万株。持续开展背街里巷、铁路沿线、河渠堤岸、拆迁村庄等专</w:t>
      </w:r>
      <w:r w:rsidR="00BF6852" w:rsidRPr="009E27B1">
        <w:rPr>
          <w:rFonts w:ascii="仿宋_GB2312" w:eastAsia="仿宋_GB2312" w:hAnsi="仿宋_GB2312" w:cs="仿宋_GB2312" w:hint="eastAsia"/>
          <w:snapToGrid w:val="0"/>
          <w:color w:val="000000" w:themeColor="text1"/>
          <w:kern w:val="32"/>
          <w:sz w:val="32"/>
          <w:szCs w:val="32"/>
        </w:rPr>
        <w:lastRenderedPageBreak/>
        <w:t>项环境整治，完成华明、军粮城非正规生活垃圾填埋场治理，整治建筑垃圾取得阶段性成果，在22个社区开展生活垃圾分类试点，新建公厕15座，城市环境面貌持续改善。</w:t>
      </w:r>
    </w:p>
    <w:p w:rsidR="006E4262" w:rsidRPr="009E27B1" w:rsidRDefault="006E4262" w:rsidP="006E426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9E27B1">
        <w:rPr>
          <w:rFonts w:ascii="黑体" w:eastAsia="黑体" w:hAnsi="黑体" w:hint="eastAsia"/>
          <w:color w:val="000000" w:themeColor="text1"/>
          <w:sz w:val="32"/>
          <w:szCs w:val="32"/>
        </w:rPr>
        <w:t>十二、人口</w:t>
      </w:r>
      <w:r w:rsidR="00A10BCA" w:rsidRPr="009E27B1">
        <w:rPr>
          <w:rFonts w:ascii="黑体" w:eastAsia="黑体" w:hAnsi="黑体" w:hint="eastAsia"/>
          <w:color w:val="000000" w:themeColor="text1"/>
          <w:sz w:val="32"/>
          <w:szCs w:val="32"/>
        </w:rPr>
        <w:t>、就业和</w:t>
      </w:r>
      <w:r w:rsidRPr="009E27B1">
        <w:rPr>
          <w:rFonts w:ascii="黑体" w:eastAsia="黑体" w:hAnsi="黑体" w:hint="eastAsia"/>
          <w:color w:val="000000" w:themeColor="text1"/>
          <w:sz w:val="32"/>
          <w:szCs w:val="32"/>
        </w:rPr>
        <w:t>人民生活</w:t>
      </w:r>
    </w:p>
    <w:p w:rsidR="006E4262" w:rsidRPr="002277BE" w:rsidRDefault="006E4262" w:rsidP="006E4262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2277BE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人口总量</w:t>
      </w:r>
      <w:r w:rsidR="00996D6D" w:rsidRPr="002277BE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小幅增长</w:t>
      </w:r>
      <w:r w:rsidRPr="002277BE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。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截至2018年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末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全区共有常住人口</w:t>
      </w:r>
      <w:r w:rsidR="00287700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76.33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</w:t>
      </w:r>
      <w:r w:rsidR="00996D6D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比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上年</w:t>
      </w:r>
      <w:r w:rsidR="00996D6D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增加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0.54万人；</w:t>
      </w:r>
      <w:r w:rsidR="00A10BCA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其</w:t>
      </w:r>
      <w:r w:rsidR="00996D6D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中城镇人口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75.38万人</w:t>
      </w:r>
      <w:r w:rsidR="00996D6D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，城镇化率为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98.76</w:t>
      </w:r>
      <w:r w:rsidR="00996D6D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%</w:t>
      </w:r>
      <w:r w:rsidR="00996D6D"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。年末全区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户籍人口</w:t>
      </w:r>
      <w:r w:rsidR="00287700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40.47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万人，比上年增加</w:t>
      </w:r>
      <w:r w:rsidR="00287700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1.88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万人。其中，男性</w:t>
      </w:r>
      <w:r w:rsidR="000C6E39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20.13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万人，比上年增加</w:t>
      </w:r>
      <w:r w:rsidR="000C6E39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0.93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万人；女性</w:t>
      </w:r>
      <w:r w:rsidR="000C6E39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20.33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万人，比上年增加</w:t>
      </w:r>
      <w:r w:rsidR="000C6E39" w:rsidRPr="002277BE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0.95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万人。</w:t>
      </w:r>
    </w:p>
    <w:p w:rsidR="002277BE" w:rsidRDefault="00A10BCA" w:rsidP="002277BE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</w:pPr>
      <w:r w:rsidRPr="00950263">
        <w:rPr>
          <w:rFonts w:ascii="仿宋_GB2312" w:eastAsia="仿宋_GB2312" w:hint="eastAsia"/>
          <w:b/>
          <w:color w:val="000000" w:themeColor="text1"/>
          <w:sz w:val="32"/>
          <w:szCs w:val="32"/>
        </w:rPr>
        <w:t>社会保障能力增强。</w:t>
      </w:r>
      <w:r w:rsidRPr="00950263">
        <w:rPr>
          <w:rFonts w:ascii="仿宋_GB2312" w:eastAsia="仿宋_GB2312" w:hint="eastAsia"/>
          <w:color w:val="000000" w:themeColor="text1"/>
          <w:sz w:val="32"/>
          <w:szCs w:val="32"/>
        </w:rPr>
        <w:t>全面</w:t>
      </w:r>
      <w:r w:rsidRPr="002277BE">
        <w:rPr>
          <w:rFonts w:ascii="仿宋_GB2312" w:eastAsia="仿宋_GB2312" w:hint="eastAsia"/>
          <w:color w:val="000000" w:themeColor="text1"/>
          <w:sz w:val="32"/>
          <w:szCs w:val="32"/>
        </w:rPr>
        <w:t>实施“双万工程”，促进多渠道就业，新增就业</w:t>
      </w:r>
      <w:r w:rsidRPr="002277BE">
        <w:rPr>
          <w:rFonts w:ascii="仿宋_GB2312" w:eastAsia="仿宋_GB2312"/>
          <w:color w:val="000000" w:themeColor="text1"/>
          <w:sz w:val="32"/>
          <w:szCs w:val="32"/>
        </w:rPr>
        <w:t>1.95</w:t>
      </w:r>
      <w:r w:rsidRPr="002277BE">
        <w:rPr>
          <w:rFonts w:ascii="仿宋_GB2312" w:eastAsia="仿宋_GB2312" w:hint="eastAsia"/>
          <w:color w:val="000000" w:themeColor="text1"/>
          <w:sz w:val="32"/>
          <w:szCs w:val="32"/>
        </w:rPr>
        <w:t>万人，其中本区1.</w:t>
      </w:r>
      <w:r w:rsidRPr="002277BE">
        <w:rPr>
          <w:rFonts w:ascii="仿宋_GB2312" w:eastAsia="仿宋_GB2312"/>
          <w:color w:val="000000" w:themeColor="text1"/>
          <w:sz w:val="32"/>
          <w:szCs w:val="32"/>
        </w:rPr>
        <w:t>04</w:t>
      </w:r>
      <w:r w:rsidRPr="002277BE">
        <w:rPr>
          <w:rFonts w:ascii="仿宋_GB2312" w:eastAsia="仿宋_GB2312" w:hint="eastAsia"/>
          <w:color w:val="000000" w:themeColor="text1"/>
          <w:sz w:val="32"/>
          <w:szCs w:val="32"/>
        </w:rPr>
        <w:t>万人。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年末</w:t>
      </w:r>
      <w:r w:rsidRPr="002277B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全区参加基本养老保险</w:t>
      </w:r>
      <w:r w:rsidRPr="002277BE"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  <w:t>23.46</w:t>
      </w:r>
      <w:r w:rsidRPr="002277B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万人，其中参加基本养老保险职工数16.16万人、城乡居民养老保险</w:t>
      </w:r>
      <w:r w:rsidRPr="002277BE"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  <w:t>7.3</w:t>
      </w:r>
      <w:r w:rsidRPr="002277B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万人；参加医疗保险</w:t>
      </w:r>
      <w:r w:rsidRPr="002277BE"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  <w:t>43.33</w:t>
      </w:r>
      <w:r w:rsidRPr="002277B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万人，其中参加职工基本医疗保险</w:t>
      </w:r>
      <w:r w:rsidRPr="002277BE"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  <w:t>17.75</w:t>
      </w:r>
      <w:r w:rsidRPr="002277B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万人、城乡居民医疗保险25.</w:t>
      </w:r>
      <w:r w:rsidRPr="002277BE"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  <w:t>58</w:t>
      </w:r>
      <w:r w:rsidRPr="002277B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万人。</w:t>
      </w:r>
    </w:p>
    <w:p w:rsidR="002277BE" w:rsidRPr="00996D6D" w:rsidRDefault="002277BE" w:rsidP="002277BE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仿宋"/>
          <w:color w:val="385623" w:themeColor="accent6" w:themeShade="80"/>
          <w:sz w:val="32"/>
          <w:szCs w:val="32"/>
        </w:rPr>
      </w:pPr>
      <w:r w:rsidRPr="002277BE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居民收支稳步增长。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全年实现全区常住居民人均可支配收入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37572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元，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增长6.9%</w:t>
      </w:r>
      <w:r w:rsidR="00080FC0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080FC0">
        <w:rPr>
          <w:rFonts w:ascii="仿宋_GB2312" w:eastAsia="仿宋_GB2312" w:hAnsi="仿宋"/>
          <w:color w:val="000000" w:themeColor="text1"/>
          <w:sz w:val="32"/>
          <w:szCs w:val="32"/>
        </w:rPr>
        <w:t>首次高于全市平均水平</w:t>
      </w:r>
      <w:r w:rsidR="00116386">
        <w:rPr>
          <w:rFonts w:ascii="仿宋_GB2312" w:eastAsia="仿宋_GB2312" w:hAnsi="仿宋"/>
          <w:color w:val="000000" w:themeColor="text1"/>
          <w:sz w:val="32"/>
          <w:szCs w:val="32"/>
        </w:rPr>
        <w:t>0.2</w:t>
      </w:r>
      <w:r w:rsidR="00080FC0">
        <w:rPr>
          <w:rFonts w:ascii="仿宋_GB2312" w:eastAsia="仿宋_GB2312" w:hAnsi="仿宋"/>
          <w:color w:val="000000" w:themeColor="text1"/>
          <w:sz w:val="32"/>
          <w:szCs w:val="32"/>
        </w:rPr>
        <w:t>个百分点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；其中，工资性收入、财产净收入和转移净收入分别</w:t>
      </w:r>
      <w:r w:rsidRPr="002277B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0.4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%、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6.4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%和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61.2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%。全区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常住居民人均可支配支出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27273元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，比上年增长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8.6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%，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教育文化娱乐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交通通信、医疗保健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支出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分别增长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53.7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%、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38.8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%和</w:t>
      </w:r>
      <w:r w:rsidRPr="002277BE">
        <w:rPr>
          <w:rFonts w:ascii="仿宋_GB2312" w:eastAsia="仿宋_GB2312" w:hAnsi="仿宋" w:hint="eastAsia"/>
          <w:color w:val="000000" w:themeColor="text1"/>
          <w:sz w:val="32"/>
          <w:szCs w:val="32"/>
        </w:rPr>
        <w:t>35.6</w:t>
      </w:r>
      <w:r w:rsidRPr="002277BE">
        <w:rPr>
          <w:rFonts w:ascii="仿宋_GB2312" w:eastAsia="仿宋_GB2312" w:hAnsi="仿宋"/>
          <w:color w:val="000000" w:themeColor="text1"/>
          <w:sz w:val="32"/>
          <w:szCs w:val="32"/>
        </w:rPr>
        <w:t>%。</w:t>
      </w:r>
    </w:p>
    <w:p w:rsidR="006E4262" w:rsidRPr="000678CA" w:rsidRDefault="006E4262" w:rsidP="006E4262">
      <w:pPr>
        <w:spacing w:line="360" w:lineRule="auto"/>
        <w:jc w:val="left"/>
        <w:rPr>
          <w:rFonts w:ascii="仿宋_GB2312" w:eastAsia="仿宋_GB2312" w:hAnsi="仿宋"/>
          <w:color w:val="FF0000"/>
          <w:sz w:val="32"/>
          <w:szCs w:val="32"/>
        </w:rPr>
      </w:pPr>
    </w:p>
    <w:p w:rsidR="006E4262" w:rsidRPr="00950263" w:rsidRDefault="006E4262" w:rsidP="006E4262">
      <w:pPr>
        <w:adjustRightInd w:val="0"/>
        <w:snapToGrid w:val="0"/>
        <w:spacing w:line="360" w:lineRule="auto"/>
        <w:ind w:firstLineChars="192" w:firstLine="614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950263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注：</w:t>
      </w:r>
      <w:r w:rsidRPr="00950263">
        <w:rPr>
          <w:rFonts w:ascii="仿宋_GB2312" w:eastAsia="仿宋_GB2312" w:hAnsi="仿宋" w:hint="eastAsia"/>
          <w:color w:val="000000" w:themeColor="text1"/>
          <w:sz w:val="32"/>
          <w:szCs w:val="32"/>
        </w:rPr>
        <w:t>1、201</w:t>
      </w:r>
      <w:r w:rsidR="00996D6D" w:rsidRPr="00950263"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 w:rsidRPr="00950263">
        <w:rPr>
          <w:rFonts w:ascii="仿宋_GB2312" w:eastAsia="仿宋_GB2312" w:hAnsi="仿宋" w:hint="eastAsia"/>
          <w:color w:val="000000" w:themeColor="text1"/>
          <w:sz w:val="32"/>
          <w:szCs w:val="32"/>
        </w:rPr>
        <w:t>年各项统计数据为快报数。</w:t>
      </w:r>
    </w:p>
    <w:p w:rsidR="006E4262" w:rsidRPr="00A40A0B" w:rsidRDefault="006E4262" w:rsidP="006E4262">
      <w:pPr>
        <w:adjustRightInd w:val="0"/>
        <w:snapToGrid w:val="0"/>
        <w:spacing w:line="360" w:lineRule="auto"/>
        <w:ind w:firstLineChars="392" w:firstLine="1254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A40A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lastRenderedPageBreak/>
        <w:t>2、地区生产总值、各行业增加值增长速度按可比价格计算。其他增长速度按现价计算。</w:t>
      </w:r>
    </w:p>
    <w:p w:rsidR="006E4262" w:rsidRPr="000678CA" w:rsidRDefault="006E4262" w:rsidP="006E4262">
      <w:pPr>
        <w:adjustRightInd w:val="0"/>
        <w:snapToGrid w:val="0"/>
        <w:spacing w:line="360" w:lineRule="auto"/>
        <w:ind w:firstLineChars="392" w:firstLine="1254"/>
        <w:rPr>
          <w:rFonts w:ascii="仿宋_GB2312" w:eastAsia="仿宋_GB2312" w:hAnsi="仿宋"/>
          <w:color w:val="FF0000"/>
          <w:kern w:val="0"/>
          <w:sz w:val="32"/>
          <w:szCs w:val="32"/>
        </w:rPr>
      </w:pPr>
    </w:p>
    <w:p w:rsidR="006E4262" w:rsidRPr="000678CA" w:rsidRDefault="006E4262" w:rsidP="006E4262">
      <w:pPr>
        <w:ind w:firstLineChars="1400" w:firstLine="448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天津市东丽区统计局</w:t>
      </w:r>
    </w:p>
    <w:p w:rsidR="00B72C49" w:rsidRDefault="006E4262" w:rsidP="003F464D">
      <w:pPr>
        <w:ind w:firstLineChars="1650" w:firstLine="5280"/>
      </w:pP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 w:rsidR="00996D6D">
        <w:rPr>
          <w:rFonts w:ascii="仿宋_GB2312" w:eastAsia="仿宋_GB2312" w:hAnsi="仿宋"/>
          <w:color w:val="000000" w:themeColor="text1"/>
          <w:sz w:val="32"/>
          <w:szCs w:val="32"/>
        </w:rPr>
        <w:t>9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96D6D">
        <w:rPr>
          <w:rFonts w:ascii="仿宋_GB2312" w:eastAsia="仿宋_GB2312" w:hAnsi="仿宋"/>
          <w:color w:val="000000" w:themeColor="text1"/>
          <w:sz w:val="32"/>
          <w:szCs w:val="32"/>
        </w:rPr>
        <w:t>5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</w:p>
    <w:sectPr w:rsidR="00B72C49" w:rsidSect="00C23567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B4" w:rsidRDefault="005D13B4" w:rsidP="006E4262">
      <w:r>
        <w:separator/>
      </w:r>
    </w:p>
  </w:endnote>
  <w:endnote w:type="continuationSeparator" w:id="0">
    <w:p w:rsidR="005D13B4" w:rsidRDefault="005D13B4" w:rsidP="006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B4" w:rsidRDefault="005D13B4" w:rsidP="006E4262">
      <w:r>
        <w:separator/>
      </w:r>
    </w:p>
  </w:footnote>
  <w:footnote w:type="continuationSeparator" w:id="0">
    <w:p w:rsidR="005D13B4" w:rsidRDefault="005D13B4" w:rsidP="006E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4"/>
    <w:rsid w:val="00014783"/>
    <w:rsid w:val="00053BE9"/>
    <w:rsid w:val="00074FF5"/>
    <w:rsid w:val="00080FC0"/>
    <w:rsid w:val="000C6E39"/>
    <w:rsid w:val="000D03B1"/>
    <w:rsid w:val="00116386"/>
    <w:rsid w:val="001179C6"/>
    <w:rsid w:val="00125486"/>
    <w:rsid w:val="00186B1D"/>
    <w:rsid w:val="00193197"/>
    <w:rsid w:val="001A4779"/>
    <w:rsid w:val="002277BE"/>
    <w:rsid w:val="002300C0"/>
    <w:rsid w:val="002869AB"/>
    <w:rsid w:val="00287700"/>
    <w:rsid w:val="00300B7F"/>
    <w:rsid w:val="003169EB"/>
    <w:rsid w:val="00331C3E"/>
    <w:rsid w:val="003554F5"/>
    <w:rsid w:val="0035649C"/>
    <w:rsid w:val="0037742C"/>
    <w:rsid w:val="003A7D39"/>
    <w:rsid w:val="003C1FA3"/>
    <w:rsid w:val="003E2317"/>
    <w:rsid w:val="003F464D"/>
    <w:rsid w:val="004151BA"/>
    <w:rsid w:val="004A3B55"/>
    <w:rsid w:val="004D4ABF"/>
    <w:rsid w:val="00534C8F"/>
    <w:rsid w:val="005960FD"/>
    <w:rsid w:val="005A7325"/>
    <w:rsid w:val="005D13B4"/>
    <w:rsid w:val="00662DE1"/>
    <w:rsid w:val="006846D2"/>
    <w:rsid w:val="006E4262"/>
    <w:rsid w:val="006E4BA9"/>
    <w:rsid w:val="006E7AD1"/>
    <w:rsid w:val="006F4860"/>
    <w:rsid w:val="007130C5"/>
    <w:rsid w:val="0073170F"/>
    <w:rsid w:val="007341D6"/>
    <w:rsid w:val="007818CF"/>
    <w:rsid w:val="0079023D"/>
    <w:rsid w:val="00797B64"/>
    <w:rsid w:val="007C07E0"/>
    <w:rsid w:val="007D653B"/>
    <w:rsid w:val="007E65E1"/>
    <w:rsid w:val="00892F0B"/>
    <w:rsid w:val="008A5906"/>
    <w:rsid w:val="00917673"/>
    <w:rsid w:val="0094553F"/>
    <w:rsid w:val="00950263"/>
    <w:rsid w:val="0096333F"/>
    <w:rsid w:val="009647D2"/>
    <w:rsid w:val="00965552"/>
    <w:rsid w:val="00996D6D"/>
    <w:rsid w:val="009E1347"/>
    <w:rsid w:val="009E27B1"/>
    <w:rsid w:val="00A10BCA"/>
    <w:rsid w:val="00A22A8B"/>
    <w:rsid w:val="00A359BD"/>
    <w:rsid w:val="00A40A0B"/>
    <w:rsid w:val="00A5422F"/>
    <w:rsid w:val="00AC70E9"/>
    <w:rsid w:val="00AF0EAD"/>
    <w:rsid w:val="00B07EB2"/>
    <w:rsid w:val="00B11954"/>
    <w:rsid w:val="00B45A07"/>
    <w:rsid w:val="00B8035D"/>
    <w:rsid w:val="00BD0A16"/>
    <w:rsid w:val="00BE71B6"/>
    <w:rsid w:val="00BF3D08"/>
    <w:rsid w:val="00BF6852"/>
    <w:rsid w:val="00C23567"/>
    <w:rsid w:val="00C551A7"/>
    <w:rsid w:val="00C94DC3"/>
    <w:rsid w:val="00D40D59"/>
    <w:rsid w:val="00D61808"/>
    <w:rsid w:val="00D8567F"/>
    <w:rsid w:val="00D91D5B"/>
    <w:rsid w:val="00DA5D83"/>
    <w:rsid w:val="00DB4918"/>
    <w:rsid w:val="00DC6685"/>
    <w:rsid w:val="00DF7B6E"/>
    <w:rsid w:val="00E20D4A"/>
    <w:rsid w:val="00E41ABA"/>
    <w:rsid w:val="00E73D9D"/>
    <w:rsid w:val="00ED541D"/>
    <w:rsid w:val="00F00253"/>
    <w:rsid w:val="00F35153"/>
    <w:rsid w:val="00F43676"/>
    <w:rsid w:val="00F60C82"/>
    <w:rsid w:val="00F64783"/>
    <w:rsid w:val="00F66C47"/>
    <w:rsid w:val="00F9633E"/>
    <w:rsid w:val="00FD263B"/>
    <w:rsid w:val="00FD2D06"/>
    <w:rsid w:val="00FD3D54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70DF4-FCC9-4E6C-8C82-9DEA898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2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26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0A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0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三产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6954177897573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29-462B-B729-EC8BFDF51AE5}"/>
                </c:ext>
              </c:extLst>
            </c:dLbl>
            <c:dLbl>
              <c:idx val="1"/>
              <c:layout>
                <c:manualLayout>
                  <c:x val="0"/>
                  <c:y val="1.7969451931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29-462B-B729-EC8BFDF51AE5}"/>
                </c:ext>
              </c:extLst>
            </c:dLbl>
            <c:dLbl>
              <c:idx val="2"/>
              <c:layout>
                <c:manualLayout>
                  <c:x val="-4.7593773487925208E-17"/>
                  <c:y val="-2.695417789757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29-462B-B729-EC8BFDF51AE5}"/>
                </c:ext>
              </c:extLst>
            </c:dLbl>
            <c:dLbl>
              <c:idx val="3"/>
              <c:layout>
                <c:manualLayout>
                  <c:x val="0"/>
                  <c:y val="-3.1446540880503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29-462B-B729-EC8BFDF51AE5}"/>
                </c:ext>
              </c:extLst>
            </c:dLbl>
            <c:dLbl>
              <c:idx val="4"/>
              <c:layout>
                <c:manualLayout>
                  <c:x val="5.1921079958462185E-3"/>
                  <c:y val="-8.5354896675651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29-462B-B729-EC8BFDF51A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367.49</c:v>
                </c:pt>
                <c:pt idx="1">
                  <c:v>408.62</c:v>
                </c:pt>
                <c:pt idx="2">
                  <c:v>458.19</c:v>
                </c:pt>
                <c:pt idx="3">
                  <c:v>474.1</c:v>
                </c:pt>
                <c:pt idx="4">
                  <c:v>524.16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29-462B-B729-EC8BFDF51A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二产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960539979231569E-3"/>
                  <c:y val="-8.5354896675651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29-462B-B729-EC8BFDF51AE5}"/>
                </c:ext>
              </c:extLst>
            </c:dLbl>
            <c:dLbl>
              <c:idx val="2"/>
              <c:layout>
                <c:manualLayout>
                  <c:x val="-4.7593773487925208E-17"/>
                  <c:y val="-3.1446540880503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29-462B-B729-EC8BFDF51AE5}"/>
                </c:ext>
              </c:extLst>
            </c:dLbl>
            <c:dLbl>
              <c:idx val="3"/>
              <c:layout>
                <c:manualLayout>
                  <c:x val="0"/>
                  <c:y val="-2.695417789757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29-462B-B729-EC8BFDF51A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479.59</c:v>
                </c:pt>
                <c:pt idx="1">
                  <c:v>462.21</c:v>
                </c:pt>
                <c:pt idx="2">
                  <c:v>464.82</c:v>
                </c:pt>
                <c:pt idx="3">
                  <c:v>467.02</c:v>
                </c:pt>
                <c:pt idx="4">
                  <c:v>439.99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129-462B-B729-EC8BFDF51AE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一产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5960539979231569E-3"/>
                  <c:y val="-4.492362982929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29-462B-B729-EC8BFDF51AE5}"/>
                </c:ext>
              </c:extLst>
            </c:dLbl>
            <c:dLbl>
              <c:idx val="1"/>
              <c:layout>
                <c:manualLayout>
                  <c:x val="-5.1921079958463139E-3"/>
                  <c:y val="-6.2893081761006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129-462B-B729-EC8BFDF51AE5}"/>
                </c:ext>
              </c:extLst>
            </c:dLbl>
            <c:dLbl>
              <c:idx val="2"/>
              <c:layout>
                <c:manualLayout>
                  <c:x val="0"/>
                  <c:y val="-4.492362982929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129-462B-B729-EC8BFDF51AE5}"/>
                </c:ext>
              </c:extLst>
            </c:dLbl>
            <c:dLbl>
              <c:idx val="3"/>
              <c:layout>
                <c:manualLayout>
                  <c:x val="5.1921079958462185E-3"/>
                  <c:y val="-2.695417789757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129-462B-B729-EC8BFDF51AE5}"/>
                </c:ext>
              </c:extLst>
            </c:dLbl>
            <c:dLbl>
              <c:idx val="4"/>
              <c:layout>
                <c:manualLayout>
                  <c:x val="-9.5187546975850416E-17"/>
                  <c:y val="-4.492362982929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129-462B-B729-EC8BFDF51A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4.1500000000000004</c:v>
                </c:pt>
                <c:pt idx="1">
                  <c:v>4.17</c:v>
                </c:pt>
                <c:pt idx="2">
                  <c:v>4.07</c:v>
                </c:pt>
                <c:pt idx="3">
                  <c:v>3.52</c:v>
                </c:pt>
                <c:pt idx="4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129-462B-B729-EC8BFDF51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2186112"/>
        <c:axId val="112195456"/>
      </c:bar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增速</c:v>
                </c:pt>
              </c:strCache>
            </c:strRef>
          </c:tx>
          <c:marker>
            <c:symbol val="square"/>
            <c:size val="6"/>
          </c:marker>
          <c:dLbls>
            <c:dLbl>
              <c:idx val="0"/>
              <c:layout>
                <c:manualLayout>
                  <c:x val="-5.6702520829756069E-2"/>
                  <c:y val="-4.902299948355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129-462B-B729-EC8BFDF51AE5}"/>
                </c:ext>
              </c:extLst>
            </c:dLbl>
            <c:dLbl>
              <c:idx val="1"/>
              <c:layout>
                <c:manualLayout>
                  <c:x val="-4.1718587746625131E-2"/>
                  <c:y val="7.3663433580236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129-462B-B729-EC8BFDF51AE5}"/>
                </c:ext>
              </c:extLst>
            </c:dLbl>
            <c:dLbl>
              <c:idx val="2"/>
              <c:layout>
                <c:manualLayout>
                  <c:x val="-4.4314641744548286E-2"/>
                  <c:y val="4.392434436261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129-462B-B729-EC8BFDF51AE5}"/>
                </c:ext>
              </c:extLst>
            </c:dLbl>
            <c:dLbl>
              <c:idx val="3"/>
              <c:layout>
                <c:manualLayout>
                  <c:x val="-3.9992314044856543E-2"/>
                  <c:y val="-6.352448868419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129-462B-B729-EC8BFDF51AE5}"/>
                </c:ext>
              </c:extLst>
            </c:dLbl>
            <c:dLbl>
              <c:idx val="4"/>
              <c:layout>
                <c:manualLayout>
                  <c:x val="-3.2204152051087169E-2"/>
                  <c:y val="-6.1107455907634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129-462B-B729-EC8BFDF51A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Sheet1!$E$2:$E$6</c:f>
              <c:numCache>
                <c:formatCode>0.0_ 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8.5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8129-462B-B729-EC8BFDF51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408448"/>
        <c:axId val="112196992"/>
      </c:lineChart>
      <c:catAx>
        <c:axId val="112186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195456"/>
        <c:crosses val="autoZero"/>
        <c:auto val="1"/>
        <c:lblAlgn val="ctr"/>
        <c:lblOffset val="100"/>
        <c:noMultiLvlLbl val="0"/>
      </c:catAx>
      <c:valAx>
        <c:axId val="112195456"/>
        <c:scaling>
          <c:orientation val="minMax"/>
          <c:max val="1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186112"/>
        <c:crosses val="autoZero"/>
        <c:crossBetween val="between"/>
      </c:valAx>
      <c:valAx>
        <c:axId val="112196992"/>
        <c:scaling>
          <c:orientation val="minMax"/>
          <c:max val="18"/>
        </c:scaling>
        <c:delete val="0"/>
        <c:axPos val="r"/>
        <c:numFmt formatCode="0.0_ " sourceLinked="1"/>
        <c:majorTickMark val="out"/>
        <c:minorTickMark val="none"/>
        <c:tickLblPos val="nextTo"/>
        <c:crossAx val="112408448"/>
        <c:crosses val="max"/>
        <c:crossBetween val="between"/>
      </c:valAx>
      <c:catAx>
        <c:axId val="112408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219699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400" b="0" i="0" u="none" strike="noStrike" baseline="0">
                <a:effectLst/>
              </a:rPr>
              <a:t>图</a:t>
            </a:r>
            <a:r>
              <a:rPr lang="en-US" altLang="zh-CN" sz="1400" b="0" i="0" u="none" strike="noStrike" baseline="0">
                <a:effectLst/>
              </a:rPr>
              <a:t>2</a:t>
            </a:r>
            <a:r>
              <a:rPr lang="zh-CN" altLang="zh-CN" sz="1400" b="0" i="0" u="none" strike="noStrike" baseline="0">
                <a:effectLst/>
              </a:rPr>
              <a:t>：</a:t>
            </a:r>
            <a:r>
              <a:rPr lang="zh-CN" altLang="en-US"/>
              <a:t>东丽区</a:t>
            </a:r>
            <a:r>
              <a:rPr lang="en-US" altLang="zh-CN"/>
              <a:t>2009-2018</a:t>
            </a:r>
            <a:r>
              <a:rPr lang="zh-CN" altLang="en-US"/>
              <a:t>年二、三产业比重情况</a:t>
            </a:r>
            <a:endParaRPr lang="zh-CN"/>
          </a:p>
        </c:rich>
      </c:tx>
      <c:layout>
        <c:manualLayout>
          <c:xMode val="edge"/>
          <c:yMode val="edge"/>
          <c:x val="0.12854035801704561"/>
          <c:y val="0.870307167235494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4630149812734083"/>
          <c:y val="7.3748801877580997E-2"/>
          <c:w val="0.81858614232209737"/>
          <c:h val="0.505745612856413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二产%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67.69</c:v>
                </c:pt>
                <c:pt idx="1">
                  <c:v>66.16</c:v>
                </c:pt>
                <c:pt idx="2">
                  <c:v>63.28</c:v>
                </c:pt>
                <c:pt idx="3">
                  <c:v>57.74</c:v>
                </c:pt>
                <c:pt idx="4">
                  <c:v>58.42</c:v>
                </c:pt>
                <c:pt idx="5">
                  <c:v>56.34</c:v>
                </c:pt>
                <c:pt idx="6">
                  <c:v>52.82</c:v>
                </c:pt>
                <c:pt idx="7">
                  <c:v>50.14</c:v>
                </c:pt>
                <c:pt idx="8">
                  <c:v>52.19</c:v>
                </c:pt>
                <c:pt idx="9">
                  <c:v>45.47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02-45D2-AC16-F8F98105F7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三产%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31.77</c:v>
                </c:pt>
                <c:pt idx="1">
                  <c:v>33.200000000000003</c:v>
                </c:pt>
                <c:pt idx="2">
                  <c:v>36.11</c:v>
                </c:pt>
                <c:pt idx="3">
                  <c:v>41.68</c:v>
                </c:pt>
                <c:pt idx="4">
                  <c:v>40.99</c:v>
                </c:pt>
                <c:pt idx="5">
                  <c:v>43.17</c:v>
                </c:pt>
                <c:pt idx="6">
                  <c:v>46.7</c:v>
                </c:pt>
                <c:pt idx="7">
                  <c:v>49.42</c:v>
                </c:pt>
                <c:pt idx="8">
                  <c:v>47.41</c:v>
                </c:pt>
                <c:pt idx="9">
                  <c:v>54.17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02-45D2-AC16-F8F98105F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880696"/>
        <c:axId val="448881680"/>
      </c:lineChart>
      <c:catAx>
        <c:axId val="44888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8881680"/>
        <c:crosses val="autoZero"/>
        <c:auto val="1"/>
        <c:lblAlgn val="ctr"/>
        <c:lblOffset val="100"/>
        <c:noMultiLvlLbl val="0"/>
      </c:catAx>
      <c:valAx>
        <c:axId val="44888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8880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-6.8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D-4095-A610-329AC8CF96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-10.07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7D-4095-A610-329AC8CF96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-12.7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7D-4095-A610-329AC8CF963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-5.8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7D-4095-A610-329AC8CF963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-7.6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7D-4095-A610-329AC8CF96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68"/>
        <c:gapDepth val="408"/>
        <c:shape val="cylinder"/>
        <c:axId val="143742848"/>
        <c:axId val="143758080"/>
        <c:axId val="0"/>
      </c:bar3DChart>
      <c:catAx>
        <c:axId val="14374284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143758080"/>
        <c:crosses val="autoZero"/>
        <c:auto val="1"/>
        <c:lblAlgn val="ctr"/>
        <c:lblOffset val="100"/>
        <c:noMultiLvlLbl val="0"/>
      </c:catAx>
      <c:valAx>
        <c:axId val="143758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374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51038024579053"/>
          <c:y val="0.165540464318751"/>
          <c:w val="0.12152572083724192"/>
          <c:h val="0.41416608382404924"/>
        </c:manualLayout>
      </c:layout>
      <c:overlay val="0"/>
      <c:txPr>
        <a:bodyPr/>
        <a:lstStyle/>
        <a:p>
          <a:pPr>
            <a:defRPr sz="110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0E6C-D408-4D17-B99D-4A0E855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703</Words>
  <Characters>4010</Characters>
  <Application>Microsoft Office Word</Application>
  <DocSecurity>0</DocSecurity>
  <Lines>33</Lines>
  <Paragraphs>9</Paragraphs>
  <ScaleCrop>false</ScaleCrop>
  <Company>微软中国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幺幺</dc:creator>
  <cp:keywords/>
  <dc:description/>
  <cp:lastModifiedBy>幺幺</cp:lastModifiedBy>
  <cp:revision>2</cp:revision>
  <cp:lastPrinted>2019-07-09T03:05:00Z</cp:lastPrinted>
  <dcterms:created xsi:type="dcterms:W3CDTF">2019-07-26T06:41:00Z</dcterms:created>
  <dcterms:modified xsi:type="dcterms:W3CDTF">2019-07-26T06:41:00Z</dcterms:modified>
</cp:coreProperties>
</file>