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8F" w:rsidRDefault="0016738F">
      <w:pPr>
        <w:spacing w:line="600" w:lineRule="auto"/>
        <w:rPr>
          <w:rFonts w:asciiTheme="minorEastAsia" w:hAnsiTheme="minorEastAsia" w:cstheme="minorEastAsia"/>
          <w:color w:val="000000"/>
          <w:sz w:val="22"/>
          <w:szCs w:val="22"/>
        </w:rPr>
      </w:pPr>
    </w:p>
    <w:p w:rsidR="0016738F" w:rsidRDefault="0016738F">
      <w:pPr>
        <w:spacing w:line="600" w:lineRule="auto"/>
        <w:rPr>
          <w:rFonts w:asciiTheme="minorEastAsia" w:hAnsiTheme="minorEastAsia" w:cstheme="minorEastAsia"/>
          <w:color w:val="000000"/>
          <w:sz w:val="22"/>
          <w:szCs w:val="22"/>
        </w:rPr>
      </w:pPr>
    </w:p>
    <w:p w:rsidR="0016738F" w:rsidRDefault="0016738F">
      <w:pPr>
        <w:spacing w:line="600" w:lineRule="auto"/>
        <w:rPr>
          <w:rFonts w:asciiTheme="minorEastAsia" w:hAnsiTheme="minorEastAsia" w:cstheme="minorEastAsia"/>
          <w:color w:val="000000"/>
          <w:sz w:val="22"/>
          <w:szCs w:val="22"/>
        </w:rPr>
      </w:pPr>
    </w:p>
    <w:p w:rsidR="0016738F" w:rsidRDefault="00F04FD8">
      <w:pPr>
        <w:widowControl/>
        <w:jc w:val="center"/>
        <w:rPr>
          <w:rFonts w:ascii="Fz_S_BiaoSong_Jt" w:eastAsia="Fz_S_BiaoSong_Jt"/>
          <w:sz w:val="48"/>
          <w:szCs w:val="48"/>
        </w:rPr>
      </w:pPr>
      <w:r>
        <w:rPr>
          <w:rFonts w:ascii="Fz_S_BiaoSong_Jt" w:eastAsia="Fz_S_BiaoSong_Jt"/>
          <w:sz w:val="48"/>
          <w:szCs w:val="48"/>
        </w:rPr>
        <w:t>天津市东丽区人民政府万新街道办事处（本级）</w:t>
      </w:r>
    </w:p>
    <w:p w:rsidR="0016738F" w:rsidRDefault="00F04FD8">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16738F" w:rsidRDefault="0016738F">
      <w:pPr>
        <w:spacing w:line="600" w:lineRule="auto"/>
        <w:rPr>
          <w:rFonts w:asciiTheme="minorEastAsia" w:hAnsiTheme="minorEastAsia" w:cstheme="minorEastAsia"/>
          <w:color w:val="000000"/>
          <w:sz w:val="22"/>
          <w:szCs w:val="22"/>
        </w:rPr>
      </w:pPr>
    </w:p>
    <w:p w:rsidR="0016738F" w:rsidRDefault="0016738F">
      <w:pPr>
        <w:spacing w:line="600" w:lineRule="auto"/>
        <w:rPr>
          <w:rFonts w:asciiTheme="minorEastAsia" w:hAnsiTheme="minorEastAsia" w:cstheme="minorEastAsia"/>
          <w:color w:val="000000"/>
          <w:sz w:val="22"/>
          <w:szCs w:val="22"/>
        </w:rPr>
      </w:pPr>
    </w:p>
    <w:p w:rsidR="0016738F" w:rsidRDefault="0016738F">
      <w:pPr>
        <w:spacing w:line="600" w:lineRule="auto"/>
        <w:rPr>
          <w:rFonts w:asciiTheme="minorEastAsia" w:hAnsiTheme="minorEastAsia" w:cstheme="minorEastAsia"/>
          <w:color w:val="000000"/>
          <w:sz w:val="22"/>
          <w:szCs w:val="22"/>
        </w:rPr>
      </w:pPr>
    </w:p>
    <w:p w:rsidR="0016738F" w:rsidRDefault="00F04FD8">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16738F" w:rsidRDefault="00F04FD8">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16738F" w:rsidRDefault="00F04FD8">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一、主要职责</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二、机构设置</w:t>
      </w:r>
    </w:p>
    <w:p w:rsidR="0016738F" w:rsidRDefault="00F04FD8">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四、支出决算表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16738F" w:rsidRDefault="00F04FD8">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16738F" w:rsidRDefault="00F04FD8">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16738F" w:rsidRDefault="0016738F">
      <w:pPr>
        <w:rPr>
          <w:rFonts w:asciiTheme="minorEastAsia" w:hAnsiTheme="minorEastAsia" w:cstheme="minorEastAsia"/>
          <w:sz w:val="22"/>
          <w:szCs w:val="22"/>
          <w:highlight w:val="yellow"/>
        </w:rPr>
      </w:pPr>
    </w:p>
    <w:p w:rsidR="0016738F" w:rsidRDefault="0016738F">
      <w:pPr>
        <w:snapToGrid w:val="0"/>
        <w:jc w:val="left"/>
        <w:rPr>
          <w:rFonts w:asciiTheme="minorEastAsia" w:hAnsiTheme="minorEastAsia" w:cstheme="minor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pPr>
    </w:p>
    <w:p w:rsidR="0016738F" w:rsidRDefault="0016738F">
      <w:pPr>
        <w:snapToGrid w:val="0"/>
        <w:jc w:val="left"/>
        <w:rPr>
          <w:rFonts w:asciiTheme="minorEastAsia" w:hAnsiTheme="minorEastAsia" w:cstheme="minor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sectPr w:rsidR="0016738F">
          <w:footerReference w:type="default" r:id="rId8"/>
          <w:pgSz w:w="11906" w:h="16838"/>
          <w:pgMar w:top="1531" w:right="1984" w:bottom="1531" w:left="2098" w:header="851" w:footer="992" w:gutter="0"/>
          <w:cols w:space="720"/>
          <w:docGrid w:type="lines" w:linePitch="312"/>
        </w:sectPr>
      </w:pPr>
    </w:p>
    <w:p w:rsidR="0016738F" w:rsidRDefault="00F04FD8">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16738F" w:rsidRDefault="00F04FD8" w:rsidP="00EE2E24">
      <w:pPr>
        <w:widowControl/>
        <w:ind w:firstLineChars="200" w:firstLine="600"/>
        <w:jc w:val="left"/>
        <w:outlineLvl w:val="1"/>
        <w:rPr>
          <w:rFonts w:ascii="宋体" w:eastAsia="黑体"/>
          <w:sz w:val="30"/>
          <w:szCs w:val="30"/>
        </w:rPr>
      </w:pPr>
      <w:r>
        <w:rPr>
          <w:rFonts w:ascii="宋体" w:eastAsia="黑体"/>
          <w:sz w:val="30"/>
          <w:szCs w:val="30"/>
        </w:rPr>
        <w:t>一、主要职责</w:t>
      </w:r>
    </w:p>
    <w:p w:rsidR="0016738F" w:rsidRDefault="00F04FD8" w:rsidP="00EE2E24">
      <w:pPr>
        <w:widowControl/>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w:t>
      </w:r>
      <w:r>
        <w:rPr>
          <w:rFonts w:ascii="Times New Roman" w:eastAsia="仿宋_GB2312"/>
          <w:sz w:val="30"/>
          <w:szCs w:val="30"/>
        </w:rPr>
        <w:t>平；配合劳动部门做好区域内劳动力就业安置、社会保障和人力资源管理等。</w:t>
      </w:r>
    </w:p>
    <w:p w:rsidR="0016738F" w:rsidRDefault="00F04FD8" w:rsidP="00EE2E24">
      <w:pPr>
        <w:widowControl/>
        <w:ind w:firstLineChars="200" w:firstLine="600"/>
        <w:jc w:val="left"/>
        <w:outlineLvl w:val="1"/>
        <w:rPr>
          <w:rFonts w:ascii="宋体" w:eastAsia="黑体"/>
          <w:sz w:val="30"/>
          <w:szCs w:val="30"/>
        </w:rPr>
      </w:pPr>
      <w:r>
        <w:rPr>
          <w:rFonts w:ascii="宋体" w:eastAsia="黑体"/>
          <w:sz w:val="30"/>
          <w:szCs w:val="30"/>
        </w:rPr>
        <w:t>二、机构设置</w:t>
      </w:r>
    </w:p>
    <w:p w:rsidR="0016738F" w:rsidRDefault="00F04FD8" w:rsidP="00EE2E24">
      <w:pPr>
        <w:widowControl/>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天津市东丽区人民政府万新街道办事处（本级）内设</w:t>
      </w:r>
      <w:r>
        <w:rPr>
          <w:rFonts w:ascii="Times New Roman" w:eastAsia="仿宋_GB2312"/>
          <w:sz w:val="30"/>
          <w:szCs w:val="30"/>
        </w:rPr>
        <w:t>9</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个预算单位。纳入天津市东丽区人民政府万新街道办事处（本级）</w:t>
      </w:r>
      <w:r>
        <w:rPr>
          <w:rFonts w:ascii="Times New Roman" w:eastAsia="仿宋_GB2312"/>
          <w:sz w:val="30"/>
          <w:szCs w:val="30"/>
        </w:rPr>
        <w:t>2024</w:t>
      </w:r>
      <w:r>
        <w:rPr>
          <w:rFonts w:ascii="Times New Roman" w:eastAsia="仿宋_GB2312"/>
          <w:sz w:val="30"/>
          <w:szCs w:val="30"/>
        </w:rPr>
        <w:t>年度部门决算编制范围的单位包括：</w:t>
      </w:r>
    </w:p>
    <w:p w:rsidR="0016738F" w:rsidRDefault="0016738F" w:rsidP="00EE2E24">
      <w:pPr>
        <w:widowControl/>
        <w:ind w:firstLineChars="200" w:firstLine="600"/>
        <w:jc w:val="left"/>
        <w:rPr>
          <w:rFonts w:ascii="Times New Roman" w:eastAsia="仿宋_GB2312"/>
          <w:sz w:val="30"/>
          <w:szCs w:val="30"/>
        </w:rPr>
      </w:pPr>
    </w:p>
    <w:p w:rsidR="0016738F" w:rsidRDefault="00F04FD8" w:rsidP="00EE2E24">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天津市东丽区人民政府万新街道办事处（本级）</w:t>
      </w:r>
    </w:p>
    <w:p w:rsidR="0016738F" w:rsidRDefault="0016738F">
      <w:pPr>
        <w:widowControl/>
        <w:spacing w:line="600" w:lineRule="exact"/>
        <w:jc w:val="left"/>
        <w:rPr>
          <w:rFonts w:asciiTheme="minorEastAsia" w:hAnsiTheme="minorEastAsia" w:cstheme="minorEastAsia"/>
          <w:sz w:val="22"/>
          <w:szCs w:val="22"/>
        </w:rPr>
        <w:sectPr w:rsidR="0016738F">
          <w:headerReference w:type="default" r:id="rId9"/>
          <w:footerReference w:type="default" r:id="rId10"/>
          <w:pgSz w:w="11906" w:h="16838"/>
          <w:pgMar w:top="1531" w:right="1984" w:bottom="1531" w:left="2098" w:header="851" w:footer="992" w:gutter="0"/>
          <w:pgNumType w:start="1"/>
          <w:cols w:space="720"/>
          <w:docGrid w:type="lines" w:linePitch="312"/>
        </w:sectPr>
      </w:pPr>
    </w:p>
    <w:p w:rsidR="0016738F" w:rsidRDefault="00F04FD8">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16738F" w:rsidRDefault="00F04FD8">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firstRow="1" w:lastRow="0" w:firstColumn="1" w:lastColumn="0" w:noHBand="0" w:noVBand="1"/>
      </w:tblPr>
      <w:tblGrid>
        <w:gridCol w:w="4697"/>
        <w:gridCol w:w="2650"/>
        <w:gridCol w:w="3598"/>
        <w:gridCol w:w="3044"/>
      </w:tblGrid>
      <w:tr w:rsidR="0016738F">
        <w:trPr>
          <w:trHeight w:val="320"/>
        </w:trPr>
        <w:tc>
          <w:tcPr>
            <w:tcW w:w="3912" w:type="pct"/>
            <w:gridSpan w:val="3"/>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1087" w:type="pct"/>
            <w:tcBorders>
              <w:top w:val="nil"/>
              <w:left w:val="nil"/>
              <w:bottom w:val="nil"/>
              <w:right w:val="nil"/>
            </w:tcBorders>
            <w:shd w:val="clear" w:color="auto" w:fill="auto"/>
            <w:noWrap/>
            <w:vAlign w:val="bottom"/>
          </w:tcPr>
          <w:p w:rsidR="0016738F" w:rsidRDefault="00F04FD8">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bidi="ar"/>
              </w:rPr>
              <w:t>单位：元</w:t>
            </w:r>
          </w:p>
        </w:tc>
      </w:tr>
      <w:tr w:rsidR="0016738F">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39,833,273.79</w:t>
            </w: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2,957,451.11</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7,614,102.62</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r>
      <w:tr w:rsidR="0016738F">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128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r>
      <w:tr w:rsidR="0016738F">
        <w:trPr>
          <w:trHeight w:val="308"/>
        </w:trPr>
        <w:tc>
          <w:tcPr>
            <w:tcW w:w="5000" w:type="pct"/>
            <w:gridSpan w:val="4"/>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注：本表反映本年度的总收支和年末结转结余情况。财政专户管理资金是指教育收费；事业收入不含教育收费。</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firstRow="1" w:lastRow="0" w:firstColumn="1" w:lastColumn="0" w:noHBand="0" w:noVBand="1"/>
      </w:tblPr>
      <w:tblGrid>
        <w:gridCol w:w="1026"/>
        <w:gridCol w:w="2887"/>
        <w:gridCol w:w="1385"/>
        <w:gridCol w:w="1248"/>
        <w:gridCol w:w="1298"/>
        <w:gridCol w:w="1237"/>
        <w:gridCol w:w="1175"/>
        <w:gridCol w:w="1245"/>
        <w:gridCol w:w="1223"/>
        <w:gridCol w:w="1265"/>
      </w:tblGrid>
      <w:tr w:rsidR="0016738F">
        <w:trPr>
          <w:trHeight w:val="320"/>
        </w:trPr>
        <w:tc>
          <w:tcPr>
            <w:tcW w:w="4548" w:type="pct"/>
            <w:gridSpan w:val="9"/>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451" w:type="pct"/>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16738F">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项</w:t>
            </w:r>
            <w:r>
              <w:rPr>
                <w:rFonts w:asciiTheme="minorEastAsia" w:hAnsiTheme="minorEastAsia" w:cstheme="minorEastAsia" w:hint="eastAsia"/>
                <w:color w:val="000000"/>
                <w:sz w:val="15"/>
                <w:szCs w:val="15"/>
                <w:lang w:bidi="ar"/>
              </w:rPr>
              <w:t xml:space="preserve">      </w:t>
            </w:r>
            <w:r>
              <w:rPr>
                <w:rFonts w:asciiTheme="minorEastAsia" w:hAnsiTheme="minorEastAsia" w:cstheme="minorEastAsia" w:hint="eastAsia"/>
                <w:color w:val="000000"/>
                <w:sz w:val="15"/>
                <w:szCs w:val="15"/>
                <w:lang w:bidi="ar"/>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其他收入</w:t>
            </w:r>
          </w:p>
        </w:tc>
      </w:tr>
      <w:tr w:rsidR="0016738F">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小计</w:t>
            </w:r>
          </w:p>
        </w:tc>
        <w:tc>
          <w:tcPr>
            <w:tcW w:w="41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15"/>
                <w:szCs w:val="15"/>
              </w:rPr>
            </w:pPr>
          </w:p>
        </w:tc>
      </w:tr>
      <w:tr w:rsidR="0016738F">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合计</w:t>
            </w:r>
          </w:p>
        </w:tc>
        <w:tc>
          <w:tcPr>
            <w:tcW w:w="495" w:type="pct"/>
            <w:tcBorders>
              <w:top w:val="nil"/>
              <w:left w:val="nil"/>
              <w:bottom w:val="nil"/>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41,773,137.58</w:t>
            </w:r>
          </w:p>
        </w:tc>
        <w:tc>
          <w:tcPr>
            <w:tcW w:w="446" w:type="pct"/>
            <w:tcBorders>
              <w:top w:val="nil"/>
              <w:left w:val="nil"/>
              <w:bottom w:val="nil"/>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41,773,137.58</w:t>
            </w:r>
          </w:p>
        </w:tc>
        <w:tc>
          <w:tcPr>
            <w:tcW w:w="464" w:type="pct"/>
            <w:tcBorders>
              <w:top w:val="nil"/>
              <w:left w:val="nil"/>
              <w:bottom w:val="nil"/>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16,517,623.74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16,517,623.74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政府办公厅（室）及相关机构事务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16,517,623.74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16,517,623.74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2010301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行政运行</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16,517,623.74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16,517,623.74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教育支出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普通教育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2050299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其他普通教育支出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2,957,451.11</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2,957,451.11</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lastRenderedPageBreak/>
              <w:t>20802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民政管理事务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1,250,562.05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1,250,562.05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2080208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基层政权建设和社区治理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1,250,562.05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1,250,562.05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1,237,359.06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1,237,359.06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824,910.10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824,910.10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412,448.96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412,448.96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20820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临时救助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469,530.00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469,530.00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2082001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临时救助支出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469,530.00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469,530.00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618,682.24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618,682.24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618,682.24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618,682.24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2101101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行政单位医疗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515,570.00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515,570.00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2101103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公务员医疗补助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103,112.24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103,112.24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4,831,188.04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4,831,188.04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lastRenderedPageBreak/>
              <w:t>21299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4,831,188.04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4,831,188.04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2129999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4,831,188.04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4,831,188.04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农林水支出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7,284,226.04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7,284,226.04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农业农村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4,792,522.00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4,792,522.00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2130199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其他农业农村支出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4,792,522.00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4,792,522.00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巩固脱贫攻坚成果衔接乡村振兴</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130,000.00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130,000.00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2130599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其他巩固脱贫攻坚成果衔接乡村振兴支出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130,000.00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130,000.00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21307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农村综合改革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2,361,704.04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2,361,704.04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2130705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对村民委员会和村党支部的补助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2,361,704.04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2,361,704.04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资源勘探工业信息等支出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1,939,863.79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1,939,863.79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21598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超长期特别国债安排的支出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1,939,863.79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1,939,863.79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2159802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制造业</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1,939,863.79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1,939,863.79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lastRenderedPageBreak/>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7,614,102.62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7,614,102.62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22101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保障性安居工程支出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4,994,137.62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4,994,137.62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2210108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老旧小区改造</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4,994,137.62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4,994,137.62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2,619,965.00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2,619,965.00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2,619,965.00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2,619,965.00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5"/>
                <w:szCs w:val="15"/>
              </w:rPr>
            </w:pPr>
          </w:p>
        </w:tc>
      </w:tr>
      <w:tr w:rsidR="0016738F">
        <w:trPr>
          <w:trHeight w:val="308"/>
        </w:trPr>
        <w:tc>
          <w:tcPr>
            <w:tcW w:w="5000" w:type="pct"/>
            <w:gridSpan w:val="10"/>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注：本表反映本年度取得的各项收入情况。</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firstRow="1" w:lastRow="0" w:firstColumn="1" w:lastColumn="0" w:noHBand="0" w:noVBand="1"/>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16738F">
        <w:trPr>
          <w:trHeight w:val="320"/>
        </w:trPr>
        <w:tc>
          <w:tcPr>
            <w:tcW w:w="2153" w:type="pct"/>
            <w:gridSpan w:val="9"/>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bidi="ar"/>
              </w:rPr>
              <w:t>部门（单位）：天津市东丽区人民政府万新街道办事处（本级）</w:t>
            </w:r>
            <w:r>
              <w:rPr>
                <w:rFonts w:asciiTheme="minorEastAsia" w:hAnsiTheme="minorEastAsia" w:cstheme="minorEastAsia" w:hint="eastAsia"/>
                <w:color w:val="000000"/>
                <w:sz w:val="18"/>
                <w:szCs w:val="18"/>
                <w:lang w:bidi="ar"/>
              </w:rPr>
              <w:t xml:space="preserve"> </w:t>
            </w:r>
          </w:p>
        </w:tc>
        <w:tc>
          <w:tcPr>
            <w:tcW w:w="245"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16738F" w:rsidRDefault="0016738F">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bidi="ar"/>
              </w:rPr>
              <w:t>单位：元</w:t>
            </w:r>
          </w:p>
        </w:tc>
      </w:tr>
      <w:tr w:rsidR="0016738F">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上年结转和结余</w:t>
            </w:r>
          </w:p>
        </w:tc>
      </w:tr>
      <w:tr w:rsidR="0016738F">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非财政拨款结转结余</w:t>
            </w:r>
          </w:p>
        </w:tc>
      </w:tr>
      <w:tr w:rsidR="0016738F">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16738F" w:rsidRDefault="0016738F">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254"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一般公共预算</w:t>
            </w:r>
          </w:p>
        </w:tc>
        <w:tc>
          <w:tcPr>
            <w:tcW w:w="245"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227"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单位资金</w:t>
            </w:r>
          </w:p>
        </w:tc>
      </w:tr>
      <w:tr w:rsidR="0016738F">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合计</w:t>
            </w:r>
          </w:p>
        </w:tc>
        <w:tc>
          <w:tcPr>
            <w:tcW w:w="196"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41,773,137.58</w:t>
            </w:r>
          </w:p>
        </w:tc>
        <w:tc>
          <w:tcPr>
            <w:tcW w:w="21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41,773,137.58</w:t>
            </w:r>
          </w:p>
        </w:tc>
        <w:tc>
          <w:tcPr>
            <w:tcW w:w="23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39,833,273.79</w:t>
            </w:r>
          </w:p>
        </w:tc>
        <w:tc>
          <w:tcPr>
            <w:tcW w:w="21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1,939,863.79</w:t>
            </w:r>
          </w:p>
        </w:tc>
        <w:tc>
          <w:tcPr>
            <w:tcW w:w="663"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25"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700"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2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11"/>
                <w:szCs w:val="11"/>
              </w:rPr>
            </w:pPr>
          </w:p>
        </w:tc>
      </w:tr>
      <w:tr w:rsidR="0016738F">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806101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天津市东丽区人民政府万新街道办事处（本级）</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41,773,137.58</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41,773,137.58</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39,833,273.79</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1,939,863.79</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11"/>
                <w:szCs w:val="11"/>
              </w:rPr>
            </w:pPr>
          </w:p>
        </w:tc>
      </w:tr>
      <w:tr w:rsidR="0016738F">
        <w:trPr>
          <w:trHeight w:val="308"/>
        </w:trPr>
        <w:tc>
          <w:tcPr>
            <w:tcW w:w="5000" w:type="pct"/>
            <w:gridSpan w:val="22"/>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bidi="ar"/>
              </w:rPr>
              <w:t>注：本表反映本年度取得的各项收入情况。财政专户管理资金是指教育收费；事业收入不含教育收费。</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firstRow="1" w:lastRow="0" w:firstColumn="1" w:lastColumn="0" w:noHBand="0" w:noVBand="1"/>
      </w:tblPr>
      <w:tblGrid>
        <w:gridCol w:w="1323"/>
        <w:gridCol w:w="2188"/>
        <w:gridCol w:w="1844"/>
        <w:gridCol w:w="1799"/>
        <w:gridCol w:w="1799"/>
        <w:gridCol w:w="1813"/>
        <w:gridCol w:w="1634"/>
        <w:gridCol w:w="1589"/>
      </w:tblGrid>
      <w:tr w:rsidR="0016738F">
        <w:trPr>
          <w:trHeight w:val="320"/>
        </w:trPr>
        <w:tc>
          <w:tcPr>
            <w:tcW w:w="4432" w:type="pct"/>
            <w:gridSpan w:val="7"/>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567" w:type="pct"/>
            <w:tcBorders>
              <w:top w:val="nil"/>
              <w:left w:val="nil"/>
              <w:bottom w:val="nil"/>
              <w:right w:val="nil"/>
            </w:tcBorders>
            <w:shd w:val="clear" w:color="auto" w:fill="auto"/>
            <w:noWrap/>
            <w:vAlign w:val="bottom"/>
          </w:tcPr>
          <w:p w:rsidR="0016738F" w:rsidRDefault="00F04FD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16738F">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对附属单位补助支出</w:t>
            </w:r>
          </w:p>
        </w:tc>
      </w:tr>
      <w:tr w:rsidR="0016738F">
        <w:trPr>
          <w:trHeight w:val="308"/>
        </w:trPr>
        <w:tc>
          <w:tcPr>
            <w:tcW w:w="473" w:type="pct"/>
            <w:tcBorders>
              <w:top w:val="nil"/>
              <w:left w:val="single" w:sz="4" w:space="0" w:color="000000"/>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781"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r>
      <w:tr w:rsidR="0016738F">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14,315,873.56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27,457,264.02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9,839,867.26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政府办公厅（室）及相关机构事务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9,839,867.26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行政运行</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9,839,867.26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普通教育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其他普通教育支出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2,957,451.11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1,720,092.05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民政管理事务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基层政权建设和社区治理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824,910.10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824,910.10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机关事业单位职业</w:t>
            </w:r>
            <w:r>
              <w:rPr>
                <w:rFonts w:asciiTheme="minorEastAsia" w:hAnsiTheme="minorEastAsia" w:cstheme="minorEastAsia" w:hint="eastAsia"/>
                <w:color w:val="000000"/>
                <w:sz w:val="22"/>
                <w:szCs w:val="22"/>
                <w:lang w:bidi="ar"/>
              </w:rPr>
              <w:lastRenderedPageBreak/>
              <w:t>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412,448.96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412,448.96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20820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2082001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515,570.00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515,570.00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103,112.24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103,112.24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农业农村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其他农业农村支出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巩固脱贫攻坚成果衔接乡村振兴</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其他巩固脱贫攻坚成果衔接乡村振兴支出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农村综合改革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对村民委员会和村党支部的补助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资源勘探工业信息等支出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21598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超长期特别国债安</w:t>
            </w:r>
            <w:r>
              <w:rPr>
                <w:rFonts w:asciiTheme="minorEastAsia" w:hAnsiTheme="minorEastAsia" w:cstheme="minorEastAsia" w:hint="eastAsia"/>
                <w:color w:val="000000"/>
                <w:sz w:val="22"/>
                <w:szCs w:val="22"/>
                <w:lang w:bidi="ar"/>
              </w:rPr>
              <w:lastRenderedPageBreak/>
              <w:t>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1,939,863.79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2159802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制造业</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7,614,102.62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保障性安居工程支出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老旧小区改造</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5000" w:type="pct"/>
            <w:gridSpan w:val="8"/>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注：本表反映本年度各项支出情况。</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firstRow="1" w:lastRow="0" w:firstColumn="1" w:lastColumn="0" w:noHBand="0" w:noVBand="1"/>
      </w:tblPr>
      <w:tblGrid>
        <w:gridCol w:w="2314"/>
        <w:gridCol w:w="1883"/>
        <w:gridCol w:w="2348"/>
        <w:gridCol w:w="1850"/>
        <w:gridCol w:w="1791"/>
        <w:gridCol w:w="1830"/>
        <w:gridCol w:w="1976"/>
      </w:tblGrid>
      <w:tr w:rsidR="0016738F">
        <w:trPr>
          <w:trHeight w:val="320"/>
        </w:trPr>
        <w:tc>
          <w:tcPr>
            <w:tcW w:w="4294" w:type="pct"/>
            <w:gridSpan w:val="6"/>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705" w:type="pct"/>
            <w:tcBorders>
              <w:top w:val="nil"/>
              <w:left w:val="nil"/>
              <w:bottom w:val="nil"/>
              <w:right w:val="nil"/>
            </w:tcBorders>
            <w:shd w:val="clear" w:color="auto" w:fill="auto"/>
            <w:noWrap/>
            <w:vAlign w:val="bottom"/>
          </w:tcPr>
          <w:p w:rsidR="0016738F" w:rsidRDefault="00F04FD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16738F">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w:t>
            </w: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国有资本经营预算财政拨款</w:t>
            </w: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39,833,273.79</w:t>
            </w: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2,957,451.11</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2,957,451.11</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7,614,102.62</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7,614,102.62</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39,833,273.79</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政府性基金预</w:t>
            </w:r>
            <w:r>
              <w:rPr>
                <w:rFonts w:asciiTheme="minorEastAsia" w:hAnsiTheme="minorEastAsia" w:cstheme="minorEastAsia" w:hint="eastAsia"/>
                <w:color w:val="000000"/>
                <w:sz w:val="22"/>
                <w:szCs w:val="22"/>
                <w:lang w:bidi="ar"/>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 xml:space="preserve">      </w:t>
            </w:r>
            <w:r>
              <w:rPr>
                <w:rFonts w:asciiTheme="minorEastAsia" w:hAnsiTheme="minorEastAsia" w:cstheme="minorEastAsia" w:hint="eastAsia"/>
                <w:color w:val="000000"/>
                <w:sz w:val="22"/>
                <w:szCs w:val="22"/>
                <w:lang w:bidi="ar"/>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r>
      <w:tr w:rsidR="0016738F">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839"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61"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41,773,137.58</w:t>
            </w:r>
          </w:p>
        </w:tc>
        <w:tc>
          <w:tcPr>
            <w:tcW w:w="64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39,833,273.79</w:t>
            </w:r>
          </w:p>
        </w:tc>
        <w:tc>
          <w:tcPr>
            <w:tcW w:w="65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705"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462"/>
        </w:trPr>
        <w:tc>
          <w:tcPr>
            <w:tcW w:w="5000" w:type="pct"/>
            <w:gridSpan w:val="7"/>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注：本表反映本年度一般公共预算财政拨款、政府性基金预算财政拨款和国有资本经营预算财政拨款的总收支和年末结转结余情况。</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319"/>
        <w:gridCol w:w="4091"/>
        <w:gridCol w:w="1799"/>
        <w:gridCol w:w="1659"/>
        <w:gridCol w:w="1738"/>
        <w:gridCol w:w="1713"/>
        <w:gridCol w:w="1673"/>
      </w:tblGrid>
      <w:tr w:rsidR="0016738F">
        <w:trPr>
          <w:trHeight w:val="320"/>
        </w:trPr>
        <w:tc>
          <w:tcPr>
            <w:tcW w:w="4402" w:type="pct"/>
            <w:gridSpan w:val="6"/>
            <w:tcBorders>
              <w:top w:val="nil"/>
              <w:left w:val="nil"/>
              <w:bottom w:val="nil"/>
              <w:right w:val="nil"/>
            </w:tcBorders>
            <w:shd w:val="clear" w:color="auto" w:fill="auto"/>
            <w:noWrap/>
            <w:vAlign w:val="bottom"/>
          </w:tcPr>
          <w:p w:rsidR="0016738F" w:rsidRDefault="00F04FD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天津市东丽区人民政府万新街道办事处（本级）</w:t>
            </w:r>
            <w:r>
              <w:rPr>
                <w:rFonts w:ascii="Arial" w:eastAsia="宋体-简" w:hAnsi="Arial" w:cs="Arial"/>
                <w:color w:val="000000"/>
                <w:sz w:val="20"/>
                <w:szCs w:val="20"/>
                <w:lang w:bidi="ar"/>
              </w:rPr>
              <w:t xml:space="preserve"> </w:t>
            </w:r>
          </w:p>
        </w:tc>
        <w:tc>
          <w:tcPr>
            <w:tcW w:w="597" w:type="pct"/>
            <w:tcBorders>
              <w:top w:val="nil"/>
              <w:left w:val="nil"/>
              <w:bottom w:val="nil"/>
              <w:right w:val="nil"/>
            </w:tcBorders>
            <w:shd w:val="clear" w:color="auto" w:fill="auto"/>
            <w:noWrap/>
            <w:vAlign w:val="bottom"/>
          </w:tcPr>
          <w:p w:rsidR="0016738F" w:rsidRDefault="00F04FD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bidi="ar"/>
              </w:rPr>
              <w:t>单位：元</w:t>
            </w:r>
          </w:p>
        </w:tc>
      </w:tr>
      <w:tr w:rsidR="0016738F">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r>
              <w:rPr>
                <w:rFonts w:asciiTheme="minorEastAsia" w:hAnsiTheme="minorEastAsia" w:cstheme="minorEastAsia" w:hint="eastAsia"/>
                <w:color w:val="000000"/>
                <w:sz w:val="22"/>
                <w:szCs w:val="22"/>
                <w:lang w:bidi="ar"/>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r>
      <w:tr w:rsidR="0016738F">
        <w:trPr>
          <w:trHeight w:val="308"/>
        </w:trPr>
        <w:tc>
          <w:tcPr>
            <w:tcW w:w="471" w:type="pct"/>
            <w:tcBorders>
              <w:top w:val="nil"/>
              <w:left w:val="single" w:sz="4" w:space="0" w:color="000000"/>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462"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小计</w:t>
            </w:r>
          </w:p>
        </w:tc>
        <w:tc>
          <w:tcPr>
            <w:tcW w:w="621"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人员经费</w:t>
            </w:r>
          </w:p>
        </w:tc>
        <w:tc>
          <w:tcPr>
            <w:tcW w:w="610"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r>
      <w:tr w:rsidR="0016738F">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39,833,273.79</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14,315,873.56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12,653,490.09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1,662,383.47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25,517,400.23</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9,839,867.26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8,177,483.79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1,662,383.47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政府办公厅（室）及相关机构事务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9,839,867.26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8,177,483.79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1,662,383.47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行政运行</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16,517,623.74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9,839,867.26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8,177,483.79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1,662,383.47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普通教育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其他普通教育支出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2,957,451.11</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1,720,092.05</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民政管理事务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2080208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基层政权建设和社区治理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1,237,359.06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824,910.10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824,910.10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824,910.10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412,448.96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412,448.96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412,448.96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20820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2082001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618,682.24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515,570.00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515,570.00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515,570.00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公务员医疗补助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103,112.24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103,112.24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103,112.24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2129999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农林水支出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农业农村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其他农业农村支出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巩固脱贫攻坚成果衔接乡村振兴</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其他巩固脱贫攻坚成果衔接乡村振兴支出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农村综合改革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对村民委员会和村党支部的补助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7,614,102.62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保障性安居工程支出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老旧小区改造</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5000" w:type="pct"/>
            <w:gridSpan w:val="7"/>
            <w:tcBorders>
              <w:top w:val="nil"/>
              <w:left w:val="nil"/>
              <w:bottom w:val="nil"/>
              <w:right w:val="nil"/>
            </w:tcBorders>
            <w:shd w:val="clear" w:color="auto" w:fill="auto"/>
            <w:noWrap/>
            <w:vAlign w:val="center"/>
          </w:tcPr>
          <w:p w:rsidR="0016738F" w:rsidRDefault="00F04FD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bidi="ar"/>
              </w:rPr>
              <w:t>注：本表反映本年度一般公共预算财政拨款支出情况。</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927"/>
        <w:gridCol w:w="1870"/>
        <w:gridCol w:w="1883"/>
        <w:gridCol w:w="876"/>
        <w:gridCol w:w="1799"/>
        <w:gridCol w:w="1830"/>
        <w:gridCol w:w="1091"/>
        <w:gridCol w:w="1987"/>
        <w:gridCol w:w="1729"/>
      </w:tblGrid>
      <w:tr w:rsidR="0016738F">
        <w:trPr>
          <w:trHeight w:val="320"/>
        </w:trPr>
        <w:tc>
          <w:tcPr>
            <w:tcW w:w="4382" w:type="pct"/>
            <w:gridSpan w:val="8"/>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617" w:type="pct"/>
            <w:tcBorders>
              <w:top w:val="nil"/>
              <w:left w:val="nil"/>
              <w:bottom w:val="nil"/>
              <w:right w:val="nil"/>
            </w:tcBorders>
            <w:shd w:val="clear" w:color="auto" w:fill="auto"/>
            <w:noWrap/>
            <w:vAlign w:val="bottom"/>
          </w:tcPr>
          <w:p w:rsidR="0016738F" w:rsidRDefault="00F04FD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16738F">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公用经费</w:t>
            </w: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12,422,977.09</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1,662,383.47</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30703</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30101</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1,859,448.00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30201</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办公费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23,830.00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30704</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30102</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2,460,912.90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30202</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印刷费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30103</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奖金</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1,701,383.00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30203</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咨询费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31001</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30106</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30204</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手续费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31002</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30107</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30205</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水费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44,499.60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31003</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30108</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824,910.10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30206</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电费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85,800.00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31005</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30109</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412,448.96</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30207</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邮电费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109,791.36</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31006</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30110</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515,570.00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30208</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取暖费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164,957.50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31007</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30111</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103,112.24</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30209</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417,216.00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31008</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30112</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10,278.81</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30211</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差旅费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14,890.00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2,619,965.00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30212</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31010</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30114</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医疗费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30213</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维修</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护</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31011</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30199</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1,914,948.08</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30214</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租赁费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31012</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230,513.00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30215</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会议费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31013</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30301</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离休费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30216</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培训费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30302</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退休费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174,385.00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30217</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31021</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30303</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30218</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31022</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30304</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抚恤金</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30224</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31099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30305</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17,128.00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30225</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17,550.00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30306</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救济费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30226</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劳务费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31201</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30307</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30227</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31203</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30308</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助学金</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30228</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84,911.08</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31204</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30309</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奖励金</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30229</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福利费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70,610.00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31205</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30310</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30231</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29,657.93</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31206</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30311</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30239</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379,570.00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31299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39,000.00</w:t>
            </w: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30240</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23,100.00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30299</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195,000.00</w:t>
            </w: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39907</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39908</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30701</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39909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30702</w:t>
            </w:r>
          </w:p>
        </w:tc>
        <w:tc>
          <w:tcPr>
            <w:tcW w:w="643"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39910</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16738F" w:rsidRDefault="0016738F">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16738F" w:rsidRDefault="0016738F">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39999</w:t>
            </w:r>
          </w:p>
        </w:tc>
        <w:tc>
          <w:tcPr>
            <w:tcW w:w="708"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12,653,490.09</w:t>
            </w:r>
          </w:p>
        </w:tc>
        <w:tc>
          <w:tcPr>
            <w:tcW w:w="2710" w:type="pct"/>
            <w:gridSpan w:val="5"/>
            <w:tcBorders>
              <w:top w:val="nil"/>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1,662,383.47</w:t>
            </w:r>
          </w:p>
        </w:tc>
      </w:tr>
      <w:tr w:rsidR="0016738F">
        <w:trPr>
          <w:trHeight w:val="308"/>
        </w:trPr>
        <w:tc>
          <w:tcPr>
            <w:tcW w:w="5000" w:type="pct"/>
            <w:gridSpan w:val="9"/>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注：本表反映本年度一般公共预算财政拨款基本支出明细情况。</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279"/>
        <w:gridCol w:w="3851"/>
        <w:gridCol w:w="1508"/>
        <w:gridCol w:w="1536"/>
        <w:gridCol w:w="1427"/>
        <w:gridCol w:w="1427"/>
        <w:gridCol w:w="1514"/>
        <w:gridCol w:w="1450"/>
      </w:tblGrid>
      <w:tr w:rsidR="0016738F">
        <w:trPr>
          <w:trHeight w:val="320"/>
        </w:trPr>
        <w:tc>
          <w:tcPr>
            <w:tcW w:w="4482" w:type="pct"/>
            <w:gridSpan w:val="7"/>
            <w:tcBorders>
              <w:top w:val="nil"/>
              <w:left w:val="nil"/>
              <w:bottom w:val="nil"/>
              <w:right w:val="nil"/>
            </w:tcBorders>
            <w:shd w:val="clear" w:color="auto" w:fill="auto"/>
            <w:noWrap/>
            <w:vAlign w:val="bottom"/>
          </w:tcPr>
          <w:p w:rsidR="0016738F" w:rsidRDefault="00F04FD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天津市东丽区人民政府万新街道办事处（本级）</w:t>
            </w:r>
            <w:r>
              <w:rPr>
                <w:rFonts w:ascii="Arial" w:eastAsia="宋体-简" w:hAnsi="Arial" w:cs="Arial"/>
                <w:color w:val="000000"/>
                <w:sz w:val="20"/>
                <w:szCs w:val="20"/>
                <w:lang w:bidi="ar"/>
              </w:rPr>
              <w:t xml:space="preserve"> </w:t>
            </w:r>
          </w:p>
        </w:tc>
        <w:tc>
          <w:tcPr>
            <w:tcW w:w="517" w:type="pct"/>
            <w:tcBorders>
              <w:top w:val="nil"/>
              <w:left w:val="nil"/>
              <w:bottom w:val="nil"/>
              <w:right w:val="nil"/>
            </w:tcBorders>
            <w:shd w:val="clear" w:color="auto" w:fill="auto"/>
            <w:noWrap/>
            <w:vAlign w:val="bottom"/>
          </w:tcPr>
          <w:p w:rsidR="0016738F" w:rsidRDefault="00F04FD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bidi="ar"/>
              </w:rPr>
              <w:t>单位：元</w:t>
            </w:r>
          </w:p>
        </w:tc>
      </w:tr>
      <w:tr w:rsidR="0016738F">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年末结转和结余</w:t>
            </w:r>
          </w:p>
        </w:tc>
      </w:tr>
      <w:tr w:rsidR="0016738F">
        <w:trPr>
          <w:trHeight w:val="308"/>
        </w:trPr>
        <w:tc>
          <w:tcPr>
            <w:tcW w:w="457" w:type="pct"/>
            <w:tcBorders>
              <w:top w:val="nil"/>
              <w:left w:val="single" w:sz="4" w:space="0" w:color="000000"/>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376"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小计</w:t>
            </w:r>
          </w:p>
        </w:tc>
        <w:tc>
          <w:tcPr>
            <w:tcW w:w="510"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r>
              <w:rPr>
                <w:rFonts w:asciiTheme="minorEastAsia" w:hAnsiTheme="minorEastAsia" w:cstheme="minorEastAsia" w:hint="eastAsia"/>
                <w:color w:val="000000"/>
                <w:sz w:val="22"/>
                <w:szCs w:val="22"/>
                <w:lang w:bidi="ar"/>
              </w:rPr>
              <w:t xml:space="preserve">  </w:t>
            </w:r>
          </w:p>
        </w:tc>
        <w:tc>
          <w:tcPr>
            <w:tcW w:w="539"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r>
      <w:tr w:rsidR="0016738F">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资源勘探工业信息等支出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21598</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超长期特别国债安排的支出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2159802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制造业</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5000" w:type="pct"/>
            <w:gridSpan w:val="8"/>
            <w:tcBorders>
              <w:top w:val="nil"/>
              <w:left w:val="nil"/>
              <w:bottom w:val="nil"/>
              <w:right w:val="nil"/>
            </w:tcBorders>
            <w:shd w:val="clear" w:color="auto" w:fill="auto"/>
            <w:noWrap/>
            <w:vAlign w:val="center"/>
          </w:tcPr>
          <w:p w:rsidR="0016738F" w:rsidRDefault="00F04FD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bidi="ar"/>
              </w:rPr>
              <w:t>注：本表反映本年度政府性基金预算财政拨款收入、支出及结转和结余情况。</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322"/>
        <w:gridCol w:w="3442"/>
        <w:gridCol w:w="1617"/>
        <w:gridCol w:w="1578"/>
        <w:gridCol w:w="1522"/>
        <w:gridCol w:w="1603"/>
        <w:gridCol w:w="1472"/>
        <w:gridCol w:w="1436"/>
      </w:tblGrid>
      <w:tr w:rsidR="0016738F">
        <w:trPr>
          <w:trHeight w:val="320"/>
        </w:trPr>
        <w:tc>
          <w:tcPr>
            <w:tcW w:w="4487" w:type="pct"/>
            <w:gridSpan w:val="7"/>
            <w:tcBorders>
              <w:top w:val="nil"/>
              <w:left w:val="nil"/>
              <w:bottom w:val="nil"/>
              <w:right w:val="nil"/>
            </w:tcBorders>
            <w:shd w:val="clear" w:color="auto" w:fill="auto"/>
            <w:noWrap/>
            <w:vAlign w:val="bottom"/>
          </w:tcPr>
          <w:p w:rsidR="0016738F" w:rsidRDefault="00F04FD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天津市东丽区人民政府万新街道办事处（本级）</w:t>
            </w:r>
            <w:r>
              <w:rPr>
                <w:rFonts w:ascii="Arial" w:eastAsia="宋体-简" w:hAnsi="Arial" w:cs="Arial"/>
                <w:color w:val="000000"/>
                <w:sz w:val="20"/>
                <w:szCs w:val="20"/>
                <w:lang w:bidi="ar"/>
              </w:rPr>
              <w:t xml:space="preserve"> </w:t>
            </w:r>
          </w:p>
        </w:tc>
        <w:tc>
          <w:tcPr>
            <w:tcW w:w="512" w:type="pct"/>
            <w:tcBorders>
              <w:top w:val="nil"/>
              <w:left w:val="nil"/>
              <w:bottom w:val="nil"/>
              <w:right w:val="nil"/>
            </w:tcBorders>
            <w:shd w:val="clear" w:color="auto" w:fill="auto"/>
            <w:noWrap/>
            <w:vAlign w:val="bottom"/>
          </w:tcPr>
          <w:p w:rsidR="0016738F" w:rsidRDefault="00F04FD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bidi="ar"/>
              </w:rPr>
              <w:t>单位：元</w:t>
            </w:r>
          </w:p>
        </w:tc>
      </w:tr>
      <w:tr w:rsidR="0016738F">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年末结转和结余</w:t>
            </w:r>
          </w:p>
        </w:tc>
      </w:tr>
      <w:tr w:rsidR="0016738F">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r>
              <w:rPr>
                <w:rFonts w:asciiTheme="minorEastAsia" w:hAnsiTheme="minorEastAsia" w:cstheme="minorEastAsia" w:hint="eastAsia"/>
                <w:color w:val="000000"/>
                <w:sz w:val="22"/>
                <w:szCs w:val="22"/>
                <w:lang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r>
      <w:tr w:rsidR="0016738F">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5000" w:type="pct"/>
            <w:gridSpan w:val="8"/>
            <w:tcBorders>
              <w:top w:val="nil"/>
              <w:left w:val="nil"/>
              <w:bottom w:val="nil"/>
              <w:right w:val="nil"/>
            </w:tcBorders>
            <w:shd w:val="clear" w:color="auto" w:fill="auto"/>
            <w:noWrap/>
            <w:vAlign w:val="center"/>
          </w:tcPr>
          <w:p w:rsidR="0016738F" w:rsidRDefault="00F04FD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bidi="ar"/>
              </w:rPr>
              <w:t>注：本表反映本年度国有资本经营预算财政拨款收入、支出及结转和结余情况。</w:t>
            </w:r>
          </w:p>
        </w:tc>
      </w:tr>
    </w:tbl>
    <w:p w:rsidR="0016738F" w:rsidRDefault="00F04FD8" w:rsidP="00EE2E24">
      <w:pPr>
        <w:widowControl/>
        <w:ind w:firstLineChars="200" w:firstLine="600"/>
        <w:jc w:val="left"/>
        <w:rPr>
          <w:rFonts w:ascii="宋体" w:eastAsia="仿宋_GB2312"/>
          <w:sz w:val="30"/>
          <w:szCs w:val="30"/>
        </w:rPr>
      </w:pPr>
      <w:r>
        <w:rPr>
          <w:rFonts w:ascii="宋体" w:eastAsia="仿宋_GB2312"/>
          <w:sz w:val="30"/>
          <w:szCs w:val="30"/>
        </w:rPr>
        <w:t>天津市东丽区人民政府万新街道办事处（本级）</w:t>
      </w:r>
      <w:r>
        <w:rPr>
          <w:rFonts w:ascii="宋体" w:eastAsia="仿宋_GB2312"/>
          <w:sz w:val="30"/>
          <w:szCs w:val="30"/>
        </w:rPr>
        <w:t>2024</w:t>
      </w:r>
      <w:r>
        <w:rPr>
          <w:rFonts w:ascii="宋体" w:eastAsia="仿宋_GB2312"/>
          <w:sz w:val="30"/>
          <w:szCs w:val="30"/>
        </w:rPr>
        <w:t>年国有资本经营预算财政拨款收入支出决算表为空表。</w:t>
      </w:r>
    </w:p>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firstRow="1" w:lastRow="0" w:firstColumn="1" w:lastColumn="0" w:noHBand="0" w:noVBand="1"/>
      </w:tblPr>
      <w:tblGrid>
        <w:gridCol w:w="2169"/>
        <w:gridCol w:w="2108"/>
        <w:gridCol w:w="2400"/>
        <w:gridCol w:w="2385"/>
        <w:gridCol w:w="2430"/>
        <w:gridCol w:w="2146"/>
      </w:tblGrid>
      <w:tr w:rsidR="0016738F">
        <w:trPr>
          <w:trHeight w:val="320"/>
        </w:trPr>
        <w:tc>
          <w:tcPr>
            <w:tcW w:w="11492" w:type="dxa"/>
            <w:gridSpan w:val="5"/>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2146" w:type="dxa"/>
            <w:tcBorders>
              <w:top w:val="nil"/>
              <w:left w:val="nil"/>
              <w:bottom w:val="nil"/>
              <w:right w:val="nil"/>
            </w:tcBorders>
            <w:shd w:val="clear" w:color="auto" w:fill="auto"/>
            <w:noWrap/>
            <w:vAlign w:val="bottom"/>
          </w:tcPr>
          <w:p w:rsidR="0016738F" w:rsidRDefault="00F04FD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16738F">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公务接待费</w:t>
            </w:r>
          </w:p>
        </w:tc>
      </w:tr>
      <w:tr w:rsidR="0016738F">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小计</w:t>
            </w:r>
          </w:p>
        </w:tc>
        <w:tc>
          <w:tcPr>
            <w:tcW w:w="2385" w:type="dxa"/>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公务用车购置费</w:t>
            </w:r>
          </w:p>
        </w:tc>
        <w:tc>
          <w:tcPr>
            <w:tcW w:w="2430" w:type="dxa"/>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16738F" w:rsidRDefault="0016738F">
            <w:pPr>
              <w:jc w:val="center"/>
              <w:rPr>
                <w:rFonts w:asciiTheme="minorEastAsia" w:hAnsiTheme="minorEastAsia" w:cstheme="minorEastAsia"/>
                <w:color w:val="000000"/>
                <w:sz w:val="22"/>
                <w:szCs w:val="22"/>
              </w:rPr>
            </w:pPr>
          </w:p>
        </w:tc>
      </w:tr>
      <w:tr w:rsidR="0016738F">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29,657.93</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29,657.93</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29,657.93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13638" w:type="dxa"/>
            <w:gridSpan w:val="6"/>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注：本表反映本年度“三公”经费支出决算情况。其中决算数是包括当年财政拨款和以前年度结转资金安排的实际支出。</w:t>
            </w:r>
          </w:p>
        </w:tc>
      </w:tr>
    </w:tbl>
    <w:p w:rsidR="0016738F" w:rsidRDefault="00F04FD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16738F" w:rsidRDefault="00F04FD8">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111"/>
        <w:gridCol w:w="2863"/>
        <w:gridCol w:w="1738"/>
        <w:gridCol w:w="1615"/>
        <w:gridCol w:w="1704"/>
        <w:gridCol w:w="1690"/>
        <w:gridCol w:w="1679"/>
        <w:gridCol w:w="1592"/>
      </w:tblGrid>
      <w:tr w:rsidR="0016738F">
        <w:trPr>
          <w:trHeight w:val="320"/>
        </w:trPr>
        <w:tc>
          <w:tcPr>
            <w:tcW w:w="4431" w:type="pct"/>
            <w:gridSpan w:val="7"/>
            <w:tcBorders>
              <w:top w:val="nil"/>
              <w:left w:val="nil"/>
              <w:bottom w:val="nil"/>
              <w:right w:val="nil"/>
            </w:tcBorders>
            <w:shd w:val="clear" w:color="auto" w:fill="auto"/>
            <w:noWrap/>
            <w:vAlign w:val="bottom"/>
          </w:tcPr>
          <w:p w:rsidR="0016738F" w:rsidRDefault="00F04FD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部门（单位）：天津市东丽区人民政府万新街道办事处（本级）</w:t>
            </w:r>
            <w:r>
              <w:rPr>
                <w:rFonts w:asciiTheme="minorEastAsia" w:hAnsiTheme="minorEastAsia" w:cstheme="minorEastAsia" w:hint="eastAsia"/>
                <w:color w:val="000000"/>
                <w:sz w:val="22"/>
                <w:szCs w:val="22"/>
                <w:lang w:bidi="ar"/>
              </w:rPr>
              <w:t xml:space="preserve"> </w:t>
            </w:r>
          </w:p>
        </w:tc>
        <w:tc>
          <w:tcPr>
            <w:tcW w:w="568" w:type="pct"/>
            <w:tcBorders>
              <w:top w:val="nil"/>
              <w:left w:val="nil"/>
              <w:bottom w:val="nil"/>
              <w:right w:val="nil"/>
            </w:tcBorders>
            <w:shd w:val="clear" w:color="auto" w:fill="auto"/>
            <w:noWrap/>
            <w:vAlign w:val="bottom"/>
          </w:tcPr>
          <w:p w:rsidR="0016738F" w:rsidRDefault="00F04FD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16738F">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w:t>
            </w:r>
          </w:p>
        </w:tc>
      </w:tr>
      <w:tr w:rsidR="0016738F">
        <w:trPr>
          <w:trHeight w:val="308"/>
        </w:trPr>
        <w:tc>
          <w:tcPr>
            <w:tcW w:w="397" w:type="pct"/>
            <w:tcBorders>
              <w:top w:val="nil"/>
              <w:left w:val="single" w:sz="4" w:space="0" w:color="000000"/>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022" w:type="pct"/>
            <w:tcBorders>
              <w:top w:val="nil"/>
              <w:left w:val="nil"/>
              <w:bottom w:val="nil"/>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科目名称（二级项目名称）</w:t>
            </w:r>
          </w:p>
        </w:tc>
        <w:tc>
          <w:tcPr>
            <w:tcW w:w="621"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77"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一般公共预算</w:t>
            </w:r>
          </w:p>
        </w:tc>
        <w:tc>
          <w:tcPr>
            <w:tcW w:w="609"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政府性基金预算</w:t>
            </w:r>
          </w:p>
        </w:tc>
        <w:tc>
          <w:tcPr>
            <w:tcW w:w="604"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国有资本经营预算</w:t>
            </w:r>
          </w:p>
        </w:tc>
        <w:tc>
          <w:tcPr>
            <w:tcW w:w="598"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财政专户管理资金</w:t>
            </w:r>
          </w:p>
        </w:tc>
        <w:tc>
          <w:tcPr>
            <w:tcW w:w="568" w:type="pct"/>
            <w:tcBorders>
              <w:top w:val="nil"/>
              <w:left w:val="nil"/>
              <w:bottom w:val="nil"/>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单位资金</w:t>
            </w:r>
          </w:p>
        </w:tc>
      </w:tr>
      <w:tr w:rsidR="0016738F">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27,457,264.02</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25,517,400.23</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政府办公厅（室）及相关机构事务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行政运行</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6,677,756.48</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执法执勤车辆租赁费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443,980.00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443,980.00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2010301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双创经费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编外人员经费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6,041,675.43</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6,041,675.43</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2010301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街道运行保障经费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92,101.05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92,101.05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普通教育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其他普通教育支出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2050299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年度“五爱”教育阵地专项经费（津财教指</w:t>
            </w:r>
            <w:r>
              <w:rPr>
                <w:rFonts w:asciiTheme="minorEastAsia" w:hAnsiTheme="minorEastAsia" w:cstheme="minorEastAsia" w:hint="eastAsia"/>
                <w:color w:val="000000"/>
                <w:sz w:val="22"/>
                <w:szCs w:val="22"/>
                <w:lang w:bidi="ar"/>
              </w:rPr>
              <w:t>[2023]126</w:t>
            </w:r>
            <w:r>
              <w:rPr>
                <w:rFonts w:asciiTheme="minorEastAsia" w:hAnsiTheme="minorEastAsia" w:cstheme="minorEastAsia" w:hint="eastAsia"/>
                <w:color w:val="000000"/>
                <w:sz w:val="22"/>
                <w:szCs w:val="22"/>
                <w:lang w:bidi="ar"/>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1,720,092.05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1,720,092.05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20802</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民政管理事务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基层政权建设和社区治理</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1,250,562.05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社区办公经费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社区办公经费（</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津财社指</w:t>
            </w:r>
            <w:r>
              <w:rPr>
                <w:rFonts w:asciiTheme="minorEastAsia" w:hAnsiTheme="minorEastAsia" w:cstheme="minorEastAsia" w:hint="eastAsia"/>
                <w:color w:val="000000"/>
                <w:sz w:val="22"/>
                <w:szCs w:val="22"/>
                <w:lang w:bidi="ar"/>
              </w:rPr>
              <w:t>[2023]171</w:t>
            </w:r>
            <w:r>
              <w:rPr>
                <w:rFonts w:asciiTheme="minorEastAsia" w:hAnsiTheme="minorEastAsia" w:cstheme="minorEastAsia" w:hint="eastAsia"/>
                <w:color w:val="000000"/>
                <w:sz w:val="22"/>
                <w:szCs w:val="22"/>
                <w:lang w:bidi="ar"/>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544,582.05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544,582.05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2080208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年民政事业发展补助资金（第三批）社区办公费（津财社指【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60</w:t>
            </w:r>
            <w:r>
              <w:rPr>
                <w:rFonts w:asciiTheme="minorEastAsia" w:hAnsiTheme="minorEastAsia" w:cstheme="minorEastAsia" w:hint="eastAsia"/>
                <w:color w:val="000000"/>
                <w:sz w:val="22"/>
                <w:szCs w:val="22"/>
                <w:lang w:bidi="ar"/>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5,980.00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5,980.00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20820</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2082001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469,530.00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2082001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困难群众救助补助资金</w:t>
            </w:r>
            <w:r>
              <w:rPr>
                <w:rFonts w:asciiTheme="minorEastAsia" w:hAnsiTheme="minorEastAsia" w:cstheme="minorEastAsia" w:hint="eastAsia"/>
                <w:color w:val="000000"/>
                <w:sz w:val="22"/>
                <w:szCs w:val="22"/>
                <w:lang w:bidi="ar"/>
              </w:rPr>
              <w:t>-01</w:t>
            </w:r>
            <w:r>
              <w:rPr>
                <w:rFonts w:asciiTheme="minorEastAsia" w:hAnsiTheme="minorEastAsia" w:cstheme="minorEastAsia" w:hint="eastAsia"/>
                <w:color w:val="000000"/>
                <w:sz w:val="22"/>
                <w:szCs w:val="22"/>
                <w:lang w:bidi="ar"/>
              </w:rPr>
              <w:t>中央直达资金（</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中央）</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临期救助</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津财社指【</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lastRenderedPageBreak/>
              <w:t>28</w:t>
            </w:r>
            <w:r>
              <w:rPr>
                <w:rFonts w:asciiTheme="minorEastAsia" w:hAnsiTheme="minorEastAsia" w:cstheme="minorEastAsia" w:hint="eastAsia"/>
                <w:color w:val="000000"/>
                <w:sz w:val="22"/>
                <w:szCs w:val="22"/>
                <w:lang w:bidi="ar"/>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169,530.00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169,530.00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2082001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临时救助资金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4,831,188.04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街道运行保障经费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1,831,309.50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1,831,309.50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2129999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年体制分成资金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2,999,878.54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2,999,878.54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农林水支出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7,284,226.04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21301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农业农村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其他农业农村支出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4,792,522.00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村级组织运转经费</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其他必要性支出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645,475.00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645,475.00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2130199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扫保、绿化、河道保洁等项目经费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4,147,047.00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4,147,047.00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巩固脱贫攻坚成果衔接乡村振兴</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其他巩固脱贫攻坚成果衔接乡村振兴支出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2130599</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对口帮扶经费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农村综合改革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2130705</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对村民委员会和村党支部的补助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2,361,704.04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2130705</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年村干部报酬</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离任村干部补助市级资金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35,700.00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35,700.00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2130705</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村级组织运转经费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2,326,004.04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2,326,004.04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资源勘探工业信息等支出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21598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超长期特别国债安排的支出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2159802</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制造业</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2159802</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年超长期特别国债</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中美史克芬必得扩建项目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1,939,863.79</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住房保障支出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22101</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保障性安居工程支出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老旧小区改造</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4,994,137.62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万新街</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年老旧小区改造工程</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4,063,700.00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4,063,700.00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万新街</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年老旧小区改造工程</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358,637.62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358,637.62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万新街道</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年老旧小区改造项目中央直达资金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329,700.00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329,700.00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2210108</w:t>
            </w:r>
          </w:p>
        </w:tc>
        <w:tc>
          <w:tcPr>
            <w:tcW w:w="1022" w:type="pct"/>
            <w:tcBorders>
              <w:top w:val="nil"/>
              <w:left w:val="nil"/>
              <w:bottom w:val="single" w:sz="4" w:space="0" w:color="000000"/>
              <w:right w:val="single" w:sz="4" w:space="0" w:color="000000"/>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万新街道</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年老旧小区改造项目中央直达资金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242,100.00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16738F" w:rsidRDefault="00F04FD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242,100.00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16738F" w:rsidRDefault="0016738F">
            <w:pPr>
              <w:widowControl/>
              <w:jc w:val="right"/>
              <w:textAlignment w:val="center"/>
              <w:rPr>
                <w:rFonts w:asciiTheme="minorEastAsia" w:hAnsiTheme="minorEastAsia" w:cstheme="minorEastAsia"/>
                <w:color w:val="000000"/>
                <w:sz w:val="22"/>
                <w:szCs w:val="22"/>
              </w:rPr>
            </w:pPr>
          </w:p>
        </w:tc>
      </w:tr>
      <w:tr w:rsidR="0016738F">
        <w:trPr>
          <w:trHeight w:val="308"/>
        </w:trPr>
        <w:tc>
          <w:tcPr>
            <w:tcW w:w="5000" w:type="pct"/>
            <w:gridSpan w:val="8"/>
            <w:tcBorders>
              <w:top w:val="nil"/>
              <w:left w:val="nil"/>
              <w:bottom w:val="nil"/>
              <w:right w:val="nil"/>
            </w:tcBorders>
            <w:shd w:val="clear" w:color="auto" w:fill="auto"/>
            <w:noWrap/>
            <w:vAlign w:val="center"/>
          </w:tcPr>
          <w:p w:rsidR="0016738F" w:rsidRDefault="00F04FD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注：本表反映本年度项目支出决算情况，其中支出数包括当年预算资金和以前年度结转资金安排的合计实际支出。</w:t>
            </w:r>
          </w:p>
        </w:tc>
      </w:tr>
    </w:tbl>
    <w:p w:rsidR="0016738F" w:rsidRDefault="0016738F">
      <w:pPr>
        <w:rPr>
          <w:rFonts w:asciiTheme="minorEastAsia" w:hAnsiTheme="minorEastAsia" w:cstheme="minorEastAsia"/>
          <w:sz w:val="22"/>
          <w:szCs w:val="22"/>
        </w:rPr>
      </w:pPr>
    </w:p>
    <w:p w:rsidR="0016738F" w:rsidRDefault="0016738F">
      <w:pPr>
        <w:rPr>
          <w:rFonts w:asciiTheme="minorEastAsia" w:hAnsiTheme="minorEastAsia" w:cstheme="minorEastAsia"/>
          <w:sz w:val="22"/>
          <w:szCs w:val="22"/>
        </w:rPr>
        <w:sectPr w:rsidR="0016738F">
          <w:footerReference w:type="default" r:id="rId11"/>
          <w:pgSz w:w="16838" w:h="11906" w:orient="landscape"/>
          <w:pgMar w:top="2098" w:right="1531" w:bottom="1984" w:left="1531" w:header="851" w:footer="992" w:gutter="0"/>
          <w:cols w:space="720"/>
          <w:docGrid w:type="lines" w:linePitch="312"/>
        </w:sectPr>
      </w:pPr>
    </w:p>
    <w:p w:rsidR="0016738F" w:rsidRDefault="00F04FD8">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天津市东丽区人民政府万新街道办事处（本级）</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41,773,137.58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9,738,964.34</w:t>
      </w:r>
      <w:r>
        <w:rPr>
          <w:rFonts w:ascii="Times New Roman" w:eastAsia="仿宋_GB2312"/>
          <w:sz w:val="30"/>
          <w:szCs w:val="30"/>
        </w:rPr>
        <w:t>元，下降</w:t>
      </w:r>
      <w:r>
        <w:rPr>
          <w:rFonts w:ascii="Times New Roman" w:eastAsia="仿宋_GB2312"/>
          <w:sz w:val="30"/>
          <w:szCs w:val="30"/>
        </w:rPr>
        <w:t>18.906%</w:t>
      </w:r>
      <w:r>
        <w:rPr>
          <w:rFonts w:ascii="Times New Roman" w:eastAsia="仿宋_GB2312"/>
          <w:sz w:val="30"/>
          <w:szCs w:val="30"/>
        </w:rPr>
        <w:t>，主要原因是项目支出减少。</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w:t>
      </w:r>
      <w:r>
        <w:rPr>
          <w:rFonts w:ascii="Times New Roman" w:eastAsia="仿宋_GB2312"/>
          <w:sz w:val="30"/>
          <w:szCs w:val="30"/>
        </w:rPr>
        <w:t>一般公共预算财政拨款收入</w:t>
      </w:r>
      <w:r>
        <w:rPr>
          <w:rFonts w:ascii="Times New Roman" w:eastAsia="仿宋_GB2312"/>
          <w:sz w:val="30"/>
          <w:szCs w:val="30"/>
        </w:rPr>
        <w:t>39,833,273.79</w:t>
      </w:r>
      <w:r>
        <w:rPr>
          <w:rFonts w:ascii="Times New Roman" w:eastAsia="仿宋_GB2312"/>
          <w:sz w:val="30"/>
          <w:szCs w:val="30"/>
        </w:rPr>
        <w:t>元、政府性基金预算财政拨款收入</w:t>
      </w:r>
      <w:r>
        <w:rPr>
          <w:rFonts w:ascii="Times New Roman" w:eastAsia="仿宋_GB2312"/>
          <w:sz w:val="30"/>
          <w:szCs w:val="30"/>
        </w:rPr>
        <w:t>1,939,863.79</w:t>
      </w:r>
      <w:r>
        <w:rPr>
          <w:rFonts w:ascii="Times New Roman" w:eastAsia="仿宋_GB2312"/>
          <w:sz w:val="30"/>
          <w:szCs w:val="30"/>
        </w:rPr>
        <w:t>元。</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16,517,623.74</w:t>
      </w:r>
      <w:r>
        <w:rPr>
          <w:rFonts w:ascii="Times New Roman" w:eastAsia="仿宋_GB2312"/>
          <w:sz w:val="30"/>
          <w:szCs w:val="30"/>
        </w:rPr>
        <w:t>元、教育支出</w:t>
      </w:r>
      <w:r>
        <w:rPr>
          <w:rFonts w:ascii="Times New Roman" w:eastAsia="仿宋_GB2312"/>
          <w:sz w:val="30"/>
          <w:szCs w:val="30"/>
        </w:rPr>
        <w:t>10,000.00</w:t>
      </w:r>
      <w:r>
        <w:rPr>
          <w:rFonts w:ascii="Times New Roman" w:eastAsia="仿宋_GB2312"/>
          <w:sz w:val="30"/>
          <w:szCs w:val="30"/>
        </w:rPr>
        <w:t>元、社会保障和就业支出</w:t>
      </w:r>
      <w:r>
        <w:rPr>
          <w:rFonts w:ascii="Times New Roman" w:eastAsia="仿宋_GB2312"/>
          <w:sz w:val="30"/>
          <w:szCs w:val="30"/>
        </w:rPr>
        <w:t>2,957,451.11</w:t>
      </w:r>
      <w:r>
        <w:rPr>
          <w:rFonts w:ascii="Times New Roman" w:eastAsia="仿宋_GB2312"/>
          <w:sz w:val="30"/>
          <w:szCs w:val="30"/>
        </w:rPr>
        <w:t>元、卫生健康支出</w:t>
      </w:r>
      <w:r>
        <w:rPr>
          <w:rFonts w:ascii="Times New Roman" w:eastAsia="仿宋_GB2312"/>
          <w:sz w:val="30"/>
          <w:szCs w:val="30"/>
        </w:rPr>
        <w:t>618,682.24</w:t>
      </w:r>
      <w:r>
        <w:rPr>
          <w:rFonts w:ascii="Times New Roman" w:eastAsia="仿宋_GB2312"/>
          <w:sz w:val="30"/>
          <w:szCs w:val="30"/>
        </w:rPr>
        <w:t>元、城乡社区支出</w:t>
      </w:r>
      <w:r>
        <w:rPr>
          <w:rFonts w:ascii="Times New Roman" w:eastAsia="仿宋_GB2312"/>
          <w:sz w:val="30"/>
          <w:szCs w:val="30"/>
        </w:rPr>
        <w:t>4,831,188.04</w:t>
      </w:r>
      <w:r>
        <w:rPr>
          <w:rFonts w:ascii="Times New Roman" w:eastAsia="仿宋_GB2312"/>
          <w:sz w:val="30"/>
          <w:szCs w:val="30"/>
        </w:rPr>
        <w:t>元、农林水支出</w:t>
      </w:r>
      <w:r>
        <w:rPr>
          <w:rFonts w:ascii="Times New Roman" w:eastAsia="仿宋_GB2312"/>
          <w:sz w:val="30"/>
          <w:szCs w:val="30"/>
        </w:rPr>
        <w:t>7,284,226.04</w:t>
      </w:r>
      <w:r>
        <w:rPr>
          <w:rFonts w:ascii="Times New Roman" w:eastAsia="仿宋_GB2312"/>
          <w:sz w:val="30"/>
          <w:szCs w:val="30"/>
        </w:rPr>
        <w:t>元、资源勘探工业信息等支出</w:t>
      </w:r>
      <w:r>
        <w:rPr>
          <w:rFonts w:ascii="Times New Roman" w:eastAsia="仿宋_GB2312"/>
          <w:sz w:val="30"/>
          <w:szCs w:val="30"/>
        </w:rPr>
        <w:t>1,939,863.79</w:t>
      </w:r>
      <w:r>
        <w:rPr>
          <w:rFonts w:ascii="Times New Roman" w:eastAsia="仿宋_GB2312"/>
          <w:sz w:val="30"/>
          <w:szCs w:val="30"/>
        </w:rPr>
        <w:t>元、住房保障支出</w:t>
      </w:r>
      <w:r>
        <w:rPr>
          <w:rFonts w:ascii="Times New Roman" w:eastAsia="仿宋_GB2312"/>
          <w:sz w:val="30"/>
          <w:szCs w:val="30"/>
        </w:rPr>
        <w:t>7,614,102.62</w:t>
      </w:r>
      <w:r>
        <w:rPr>
          <w:rFonts w:ascii="Times New Roman" w:eastAsia="仿宋_GB2312"/>
          <w:sz w:val="30"/>
          <w:szCs w:val="30"/>
        </w:rPr>
        <w:t>元。</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天津市东丽区人民政府万新街道办事处（本级）</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41,773,137.58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9,738,964.34</w:t>
      </w:r>
      <w:r>
        <w:rPr>
          <w:rFonts w:ascii="Times New Roman" w:eastAsia="仿宋_GB2312"/>
          <w:sz w:val="30"/>
          <w:szCs w:val="30"/>
        </w:rPr>
        <w:t>元，主要原因是</w:t>
      </w:r>
      <w:r>
        <w:rPr>
          <w:rFonts w:ascii="Times New Roman" w:eastAsia="仿宋_GB2312"/>
          <w:sz w:val="30"/>
          <w:szCs w:val="30"/>
        </w:rPr>
        <w:t>​</w:t>
      </w:r>
      <w:r>
        <w:rPr>
          <w:rFonts w:ascii="Times New Roman" w:eastAsia="仿宋_GB2312"/>
          <w:sz w:val="30"/>
          <w:szCs w:val="30"/>
        </w:rPr>
        <w:t>项目支出减少</w:t>
      </w:r>
      <w:r>
        <w:rPr>
          <w:rFonts w:ascii="Times New Roman" w:eastAsia="仿宋_GB2312"/>
          <w:sz w:val="30"/>
          <w:szCs w:val="30"/>
        </w:rPr>
        <w:t>​</w:t>
      </w:r>
      <w:r>
        <w:rPr>
          <w:rFonts w:ascii="Times New Roman" w:eastAsia="仿宋_GB2312"/>
          <w:sz w:val="30"/>
          <w:szCs w:val="30"/>
        </w:rPr>
        <w:t>。其中：</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39,833,273.79</w:t>
      </w:r>
      <w:r>
        <w:rPr>
          <w:rFonts w:ascii="Times New Roman" w:eastAsia="仿宋_GB2312"/>
          <w:sz w:val="30"/>
          <w:szCs w:val="30"/>
        </w:rPr>
        <w:t>元，占</w:t>
      </w:r>
      <w:r>
        <w:rPr>
          <w:rFonts w:ascii="Times New Roman" w:eastAsia="仿宋_GB2312"/>
          <w:sz w:val="30"/>
          <w:szCs w:val="30"/>
        </w:rPr>
        <w:t>95.356%</w:t>
      </w:r>
      <w:r>
        <w:rPr>
          <w:rFonts w:ascii="Times New Roman" w:eastAsia="仿宋_GB2312"/>
          <w:sz w:val="30"/>
          <w:szCs w:val="30"/>
        </w:rPr>
        <w:t>；政府性基金预算财政拨款收入</w:t>
      </w:r>
      <w:r>
        <w:rPr>
          <w:rFonts w:ascii="Times New Roman" w:eastAsia="仿宋_GB2312"/>
          <w:sz w:val="30"/>
          <w:szCs w:val="30"/>
        </w:rPr>
        <w:t>1,939,863.79</w:t>
      </w:r>
      <w:r>
        <w:rPr>
          <w:rFonts w:ascii="Times New Roman" w:eastAsia="仿宋_GB2312"/>
          <w:sz w:val="30"/>
          <w:szCs w:val="30"/>
        </w:rPr>
        <w:t>元，占</w:t>
      </w:r>
      <w:r>
        <w:rPr>
          <w:rFonts w:ascii="Times New Roman" w:eastAsia="仿宋_GB2312"/>
          <w:sz w:val="30"/>
          <w:szCs w:val="30"/>
        </w:rPr>
        <w:t>4.644%</w:t>
      </w:r>
      <w:r>
        <w:rPr>
          <w:rFonts w:ascii="Times New Roman" w:eastAsia="仿宋_GB2312"/>
          <w:sz w:val="30"/>
          <w:szCs w:val="30"/>
        </w:rPr>
        <w:t>。</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天津市东丽区人民政府万新街道办事处（本级）</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41,773,137.58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9,738,964.34</w:t>
      </w:r>
      <w:r>
        <w:rPr>
          <w:rFonts w:ascii="Times New Roman" w:eastAsia="仿宋_GB2312"/>
          <w:sz w:val="30"/>
          <w:szCs w:val="30"/>
        </w:rPr>
        <w:t>元，主要原因是</w:t>
      </w:r>
      <w:r>
        <w:rPr>
          <w:rFonts w:ascii="Times New Roman" w:eastAsia="仿宋_GB2312"/>
          <w:sz w:val="30"/>
          <w:szCs w:val="30"/>
        </w:rPr>
        <w:t>​</w:t>
      </w:r>
      <w:r>
        <w:rPr>
          <w:rFonts w:ascii="Times New Roman" w:eastAsia="仿宋_GB2312"/>
          <w:sz w:val="30"/>
          <w:szCs w:val="30"/>
        </w:rPr>
        <w:t>项目支出减少</w:t>
      </w:r>
      <w:r>
        <w:rPr>
          <w:rFonts w:ascii="Times New Roman" w:eastAsia="仿宋_GB2312"/>
          <w:sz w:val="30"/>
          <w:szCs w:val="30"/>
        </w:rPr>
        <w:t>​</w:t>
      </w:r>
      <w:r>
        <w:rPr>
          <w:rFonts w:ascii="Times New Roman" w:eastAsia="仿宋_GB2312"/>
          <w:sz w:val="30"/>
          <w:szCs w:val="30"/>
        </w:rPr>
        <w:t>。其中：</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14,315,8</w:t>
      </w:r>
      <w:r>
        <w:rPr>
          <w:rFonts w:ascii="Times New Roman" w:eastAsia="仿宋_GB2312"/>
          <w:sz w:val="30"/>
          <w:szCs w:val="30"/>
        </w:rPr>
        <w:t>73.56</w:t>
      </w:r>
      <w:r>
        <w:rPr>
          <w:rFonts w:ascii="Times New Roman" w:eastAsia="仿宋_GB2312"/>
          <w:sz w:val="30"/>
          <w:szCs w:val="30"/>
        </w:rPr>
        <w:t>元，占</w:t>
      </w:r>
      <w:r>
        <w:rPr>
          <w:rFonts w:ascii="Times New Roman" w:eastAsia="仿宋_GB2312"/>
          <w:sz w:val="30"/>
          <w:szCs w:val="30"/>
        </w:rPr>
        <w:t>34.271%</w:t>
      </w:r>
      <w:r>
        <w:rPr>
          <w:rFonts w:ascii="Times New Roman" w:eastAsia="仿宋_GB2312"/>
          <w:sz w:val="30"/>
          <w:szCs w:val="30"/>
        </w:rPr>
        <w:t>；项目支出</w:t>
      </w:r>
      <w:r>
        <w:rPr>
          <w:rFonts w:ascii="Times New Roman" w:eastAsia="仿宋_GB2312"/>
          <w:sz w:val="30"/>
          <w:szCs w:val="30"/>
        </w:rPr>
        <w:t>27,457,264.02</w:t>
      </w:r>
      <w:r>
        <w:rPr>
          <w:rFonts w:ascii="Times New Roman" w:eastAsia="仿宋_GB2312"/>
          <w:sz w:val="30"/>
          <w:szCs w:val="30"/>
        </w:rPr>
        <w:t>元，占</w:t>
      </w:r>
      <w:r>
        <w:rPr>
          <w:rFonts w:ascii="Times New Roman" w:eastAsia="仿宋_GB2312"/>
          <w:sz w:val="30"/>
          <w:szCs w:val="30"/>
        </w:rPr>
        <w:t>65.729%</w:t>
      </w:r>
      <w:r>
        <w:rPr>
          <w:rFonts w:ascii="Times New Roman" w:eastAsia="仿宋_GB2312"/>
          <w:sz w:val="30"/>
          <w:szCs w:val="30"/>
        </w:rPr>
        <w:t>。</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天津市东丽区人民政府万新街道办事处（本级）</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41,773,137.58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9,738,964.34</w:t>
      </w:r>
      <w:r>
        <w:rPr>
          <w:rFonts w:ascii="Times New Roman" w:eastAsia="仿宋_GB2312"/>
          <w:sz w:val="30"/>
          <w:szCs w:val="30"/>
        </w:rPr>
        <w:t>元，下降</w:t>
      </w:r>
      <w:r>
        <w:rPr>
          <w:rFonts w:ascii="Times New Roman" w:eastAsia="仿宋_GB2312"/>
          <w:sz w:val="30"/>
          <w:szCs w:val="30"/>
        </w:rPr>
        <w:t>18.906%</w:t>
      </w:r>
      <w:r>
        <w:rPr>
          <w:rFonts w:ascii="Times New Roman" w:eastAsia="仿宋_GB2312"/>
          <w:sz w:val="30"/>
          <w:szCs w:val="30"/>
        </w:rPr>
        <w:t>，主要原因是</w:t>
      </w:r>
      <w:r>
        <w:rPr>
          <w:rFonts w:ascii="Times New Roman" w:eastAsia="仿宋_GB2312"/>
          <w:sz w:val="30"/>
          <w:szCs w:val="30"/>
        </w:rPr>
        <w:t>​</w:t>
      </w:r>
      <w:r>
        <w:rPr>
          <w:rFonts w:ascii="Times New Roman" w:eastAsia="仿宋_GB2312"/>
          <w:sz w:val="30"/>
          <w:szCs w:val="30"/>
        </w:rPr>
        <w:t>项目支出减少</w:t>
      </w:r>
      <w:r>
        <w:rPr>
          <w:rFonts w:ascii="Times New Roman" w:eastAsia="仿宋_GB2312"/>
          <w:sz w:val="30"/>
          <w:szCs w:val="30"/>
        </w:rPr>
        <w:t>​</w:t>
      </w:r>
      <w:r>
        <w:rPr>
          <w:rFonts w:ascii="Times New Roman" w:eastAsia="仿宋_GB2312"/>
          <w:sz w:val="30"/>
          <w:szCs w:val="30"/>
        </w:rPr>
        <w:t>。</w:t>
      </w:r>
    </w:p>
    <w:p w:rsidR="0016738F" w:rsidRDefault="00F04FD8" w:rsidP="00EE2E24">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39,833,273.79</w:t>
      </w:r>
      <w:r>
        <w:rPr>
          <w:rFonts w:ascii="Times New Roman" w:eastAsia="仿宋_GB2312"/>
          <w:sz w:val="30"/>
          <w:szCs w:val="30"/>
        </w:rPr>
        <w:t>元、政府性基金预算财政拨款</w:t>
      </w:r>
      <w:r>
        <w:rPr>
          <w:rFonts w:ascii="Times New Roman" w:eastAsia="仿宋_GB2312"/>
          <w:sz w:val="30"/>
          <w:szCs w:val="30"/>
        </w:rPr>
        <w:t>1,939,863.79</w:t>
      </w:r>
      <w:r>
        <w:rPr>
          <w:rFonts w:ascii="Times New Roman" w:eastAsia="仿宋_GB2312"/>
          <w:sz w:val="30"/>
          <w:szCs w:val="30"/>
        </w:rPr>
        <w:t>元。</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一般公共服务支出</w:t>
      </w:r>
      <w:r>
        <w:rPr>
          <w:rFonts w:ascii="Times New Roman" w:eastAsia="仿宋_GB2312"/>
          <w:sz w:val="30"/>
          <w:szCs w:val="30"/>
        </w:rPr>
        <w:t>16,517,623.74</w:t>
      </w:r>
      <w:r>
        <w:rPr>
          <w:rFonts w:ascii="Times New Roman" w:eastAsia="仿宋_GB2312"/>
          <w:sz w:val="30"/>
          <w:szCs w:val="30"/>
        </w:rPr>
        <w:t>元、教育支出</w:t>
      </w:r>
      <w:r>
        <w:rPr>
          <w:rFonts w:ascii="Times New Roman" w:eastAsia="仿宋_GB2312"/>
          <w:sz w:val="30"/>
          <w:szCs w:val="30"/>
        </w:rPr>
        <w:t>10,000.00</w:t>
      </w:r>
      <w:r>
        <w:rPr>
          <w:rFonts w:ascii="Times New Roman" w:eastAsia="仿宋_GB2312"/>
          <w:sz w:val="30"/>
          <w:szCs w:val="30"/>
        </w:rPr>
        <w:t>元、社会保障和就业支出</w:t>
      </w:r>
      <w:r>
        <w:rPr>
          <w:rFonts w:ascii="Times New Roman" w:eastAsia="仿宋_GB2312"/>
          <w:sz w:val="30"/>
          <w:szCs w:val="30"/>
        </w:rPr>
        <w:t>2,957,451.11</w:t>
      </w:r>
      <w:r>
        <w:rPr>
          <w:rFonts w:ascii="Times New Roman" w:eastAsia="仿宋_GB2312"/>
          <w:sz w:val="30"/>
          <w:szCs w:val="30"/>
        </w:rPr>
        <w:t>元、卫生健康支出</w:t>
      </w:r>
      <w:r>
        <w:rPr>
          <w:rFonts w:ascii="Times New Roman" w:eastAsia="仿宋_GB2312"/>
          <w:sz w:val="30"/>
          <w:szCs w:val="30"/>
        </w:rPr>
        <w:t>618,682.24</w:t>
      </w:r>
      <w:r>
        <w:rPr>
          <w:rFonts w:ascii="Times New Roman" w:eastAsia="仿宋_GB2312"/>
          <w:sz w:val="30"/>
          <w:szCs w:val="30"/>
        </w:rPr>
        <w:t>元、城乡社区支出</w:t>
      </w:r>
      <w:r>
        <w:rPr>
          <w:rFonts w:ascii="Times New Roman" w:eastAsia="仿宋_GB2312"/>
          <w:sz w:val="30"/>
          <w:szCs w:val="30"/>
        </w:rPr>
        <w:t>4,831,188.04</w:t>
      </w:r>
      <w:r>
        <w:rPr>
          <w:rFonts w:ascii="Times New Roman" w:eastAsia="仿宋_GB2312"/>
          <w:sz w:val="30"/>
          <w:szCs w:val="30"/>
        </w:rPr>
        <w:t>元、农林水支出</w:t>
      </w:r>
      <w:r>
        <w:rPr>
          <w:rFonts w:ascii="Times New Roman" w:eastAsia="仿宋_GB2312"/>
          <w:sz w:val="30"/>
          <w:szCs w:val="30"/>
        </w:rPr>
        <w:t>7,284,226.04</w:t>
      </w:r>
      <w:r>
        <w:rPr>
          <w:rFonts w:ascii="Times New Roman" w:eastAsia="仿宋_GB2312"/>
          <w:sz w:val="30"/>
          <w:szCs w:val="30"/>
        </w:rPr>
        <w:t>元、资源勘探工业信息等支出</w:t>
      </w:r>
      <w:r>
        <w:rPr>
          <w:rFonts w:ascii="Times New Roman" w:eastAsia="仿宋_GB2312"/>
          <w:sz w:val="30"/>
          <w:szCs w:val="30"/>
        </w:rPr>
        <w:t>1,939,863.79</w:t>
      </w:r>
      <w:r>
        <w:rPr>
          <w:rFonts w:ascii="Times New Roman" w:eastAsia="仿宋_GB2312"/>
          <w:sz w:val="30"/>
          <w:szCs w:val="30"/>
        </w:rPr>
        <w:t>元、住房保障支出</w:t>
      </w:r>
      <w:r>
        <w:rPr>
          <w:rFonts w:ascii="Times New Roman" w:eastAsia="仿宋_GB2312"/>
          <w:sz w:val="30"/>
          <w:szCs w:val="30"/>
        </w:rPr>
        <w:t>7,614,102.62</w:t>
      </w:r>
      <w:r>
        <w:rPr>
          <w:rFonts w:ascii="Times New Roman" w:eastAsia="仿宋_GB2312"/>
          <w:sz w:val="30"/>
          <w:szCs w:val="30"/>
        </w:rPr>
        <w:t>元。</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天津市东丽区人民政府万新街道办事处（本级）</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39,833,273.79</w:t>
      </w:r>
      <w:r>
        <w:rPr>
          <w:rFonts w:ascii="Times New Roman" w:eastAsia="仿宋_GB2312"/>
          <w:sz w:val="30"/>
          <w:szCs w:val="30"/>
        </w:rPr>
        <w:t>元，占本年</w:t>
      </w:r>
      <w:r>
        <w:rPr>
          <w:rFonts w:ascii="Times New Roman" w:eastAsia="仿宋_GB2312"/>
          <w:sz w:val="30"/>
          <w:szCs w:val="30"/>
        </w:rPr>
        <w:t>支出合计的</w:t>
      </w:r>
      <w:r>
        <w:rPr>
          <w:rFonts w:ascii="Times New Roman" w:eastAsia="仿宋_GB2312"/>
          <w:sz w:val="30"/>
          <w:szCs w:val="30"/>
        </w:rPr>
        <w:t>95.356%</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11,638,328.13</w:t>
      </w:r>
      <w:r>
        <w:rPr>
          <w:rFonts w:ascii="Times New Roman" w:eastAsia="仿宋_GB2312"/>
          <w:sz w:val="30"/>
          <w:szCs w:val="30"/>
        </w:rPr>
        <w:t>元，下降</w:t>
      </w:r>
      <w:r>
        <w:rPr>
          <w:rFonts w:ascii="Times New Roman" w:eastAsia="仿宋_GB2312"/>
          <w:sz w:val="30"/>
          <w:szCs w:val="30"/>
        </w:rPr>
        <w:t>22.611%</w:t>
      </w:r>
      <w:r>
        <w:rPr>
          <w:rFonts w:ascii="Times New Roman" w:eastAsia="仿宋_GB2312"/>
          <w:sz w:val="30"/>
          <w:szCs w:val="30"/>
        </w:rPr>
        <w:t>，主要原因是</w:t>
      </w:r>
      <w:r>
        <w:rPr>
          <w:rFonts w:ascii="Times New Roman" w:eastAsia="仿宋_GB2312"/>
          <w:sz w:val="30"/>
          <w:szCs w:val="30"/>
        </w:rPr>
        <w:t>​</w:t>
      </w:r>
      <w:r>
        <w:rPr>
          <w:rFonts w:ascii="Times New Roman" w:eastAsia="仿宋_GB2312"/>
          <w:sz w:val="30"/>
          <w:szCs w:val="30"/>
        </w:rPr>
        <w:t>项目支出减少</w:t>
      </w:r>
      <w:r>
        <w:rPr>
          <w:rFonts w:ascii="Times New Roman" w:eastAsia="仿宋_GB2312"/>
          <w:sz w:val="30"/>
          <w:szCs w:val="30"/>
        </w:rPr>
        <w:t>​</w:t>
      </w:r>
      <w:r>
        <w:rPr>
          <w:rFonts w:ascii="Times New Roman" w:eastAsia="仿宋_GB2312"/>
          <w:sz w:val="30"/>
          <w:szCs w:val="30"/>
        </w:rPr>
        <w:t>。</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39,833,273.79</w:t>
      </w:r>
      <w:r>
        <w:rPr>
          <w:rFonts w:ascii="Times New Roman" w:eastAsia="仿宋_GB2312"/>
          <w:sz w:val="30"/>
          <w:szCs w:val="30"/>
        </w:rPr>
        <w:t>元，主要用于以下方面：一般公共服务支出（类）</w:t>
      </w:r>
      <w:r>
        <w:rPr>
          <w:rFonts w:ascii="Times New Roman" w:eastAsia="仿宋_GB2312"/>
          <w:sz w:val="30"/>
          <w:szCs w:val="30"/>
        </w:rPr>
        <w:t>16,517,623.74</w:t>
      </w:r>
      <w:r>
        <w:rPr>
          <w:rFonts w:ascii="Times New Roman" w:eastAsia="仿宋_GB2312"/>
          <w:sz w:val="30"/>
          <w:szCs w:val="30"/>
        </w:rPr>
        <w:t>元，占</w:t>
      </w:r>
      <w:r>
        <w:rPr>
          <w:rFonts w:ascii="Times New Roman" w:eastAsia="仿宋_GB2312"/>
          <w:sz w:val="30"/>
          <w:szCs w:val="30"/>
        </w:rPr>
        <w:t>41.467%</w:t>
      </w:r>
      <w:r>
        <w:rPr>
          <w:rFonts w:ascii="Times New Roman" w:eastAsia="仿宋_GB2312"/>
          <w:sz w:val="30"/>
          <w:szCs w:val="30"/>
        </w:rPr>
        <w:t>；教育支出（类）</w:t>
      </w:r>
      <w:r>
        <w:rPr>
          <w:rFonts w:ascii="Times New Roman" w:eastAsia="仿宋_GB2312"/>
          <w:sz w:val="30"/>
          <w:szCs w:val="30"/>
        </w:rPr>
        <w:t>10,000.00</w:t>
      </w:r>
      <w:r>
        <w:rPr>
          <w:rFonts w:ascii="Times New Roman" w:eastAsia="仿宋_GB2312"/>
          <w:sz w:val="30"/>
          <w:szCs w:val="30"/>
        </w:rPr>
        <w:t>元，占</w:t>
      </w:r>
      <w:r>
        <w:rPr>
          <w:rFonts w:ascii="Times New Roman" w:eastAsia="仿宋_GB2312"/>
          <w:sz w:val="30"/>
          <w:szCs w:val="30"/>
        </w:rPr>
        <w:t>0.025%</w:t>
      </w:r>
      <w:r>
        <w:rPr>
          <w:rFonts w:ascii="Times New Roman" w:eastAsia="仿宋_GB2312"/>
          <w:sz w:val="30"/>
          <w:szCs w:val="30"/>
        </w:rPr>
        <w:t>；社会保障和就业支出（类）</w:t>
      </w:r>
      <w:r>
        <w:rPr>
          <w:rFonts w:ascii="Times New Roman" w:eastAsia="仿宋_GB2312"/>
          <w:sz w:val="30"/>
          <w:szCs w:val="30"/>
        </w:rPr>
        <w:t>2,957,451.11</w:t>
      </w:r>
      <w:r>
        <w:rPr>
          <w:rFonts w:ascii="Times New Roman" w:eastAsia="仿宋_GB2312"/>
          <w:sz w:val="30"/>
          <w:szCs w:val="30"/>
        </w:rPr>
        <w:t>元，占</w:t>
      </w:r>
      <w:r>
        <w:rPr>
          <w:rFonts w:ascii="Times New Roman" w:eastAsia="仿宋_GB2312"/>
          <w:sz w:val="30"/>
          <w:szCs w:val="30"/>
        </w:rPr>
        <w:t>7.425%</w:t>
      </w:r>
      <w:r>
        <w:rPr>
          <w:rFonts w:ascii="Times New Roman" w:eastAsia="仿宋_GB2312"/>
          <w:sz w:val="30"/>
          <w:szCs w:val="30"/>
        </w:rPr>
        <w:t>；卫生健康支出（类）</w:t>
      </w:r>
      <w:r>
        <w:rPr>
          <w:rFonts w:ascii="Times New Roman" w:eastAsia="仿宋_GB2312"/>
          <w:sz w:val="30"/>
          <w:szCs w:val="30"/>
        </w:rPr>
        <w:t>618,682.24</w:t>
      </w:r>
      <w:r>
        <w:rPr>
          <w:rFonts w:ascii="Times New Roman" w:eastAsia="仿宋_GB2312"/>
          <w:sz w:val="30"/>
          <w:szCs w:val="30"/>
        </w:rPr>
        <w:t>元，占</w:t>
      </w:r>
      <w:r>
        <w:rPr>
          <w:rFonts w:ascii="Times New Roman" w:eastAsia="仿宋_GB2312"/>
          <w:sz w:val="30"/>
          <w:szCs w:val="30"/>
        </w:rPr>
        <w:t>1.553%</w:t>
      </w:r>
      <w:r>
        <w:rPr>
          <w:rFonts w:ascii="Times New Roman" w:eastAsia="仿宋_GB2312"/>
          <w:sz w:val="30"/>
          <w:szCs w:val="30"/>
        </w:rPr>
        <w:t>；城乡社</w:t>
      </w:r>
      <w:r>
        <w:rPr>
          <w:rFonts w:ascii="Times New Roman" w:eastAsia="仿宋_GB2312"/>
          <w:sz w:val="30"/>
          <w:szCs w:val="30"/>
        </w:rPr>
        <w:t>区支出（类）</w:t>
      </w:r>
      <w:r>
        <w:rPr>
          <w:rFonts w:ascii="Times New Roman" w:eastAsia="仿宋_GB2312"/>
          <w:sz w:val="30"/>
          <w:szCs w:val="30"/>
        </w:rPr>
        <w:t>4,831,188.04</w:t>
      </w:r>
      <w:r>
        <w:rPr>
          <w:rFonts w:ascii="Times New Roman" w:eastAsia="仿宋_GB2312"/>
          <w:sz w:val="30"/>
          <w:szCs w:val="30"/>
        </w:rPr>
        <w:t>元，占</w:t>
      </w:r>
      <w:r>
        <w:rPr>
          <w:rFonts w:ascii="Times New Roman" w:eastAsia="仿宋_GB2312"/>
          <w:sz w:val="30"/>
          <w:szCs w:val="30"/>
        </w:rPr>
        <w:t>12.129%</w:t>
      </w:r>
      <w:r>
        <w:rPr>
          <w:rFonts w:ascii="Times New Roman" w:eastAsia="仿宋_GB2312"/>
          <w:sz w:val="30"/>
          <w:szCs w:val="30"/>
        </w:rPr>
        <w:t>；农林水支出（类）</w:t>
      </w:r>
      <w:r>
        <w:rPr>
          <w:rFonts w:ascii="Times New Roman" w:eastAsia="仿宋_GB2312"/>
          <w:sz w:val="30"/>
          <w:szCs w:val="30"/>
        </w:rPr>
        <w:t>7,284,226.04</w:t>
      </w:r>
      <w:r>
        <w:rPr>
          <w:rFonts w:ascii="Times New Roman" w:eastAsia="仿宋_GB2312"/>
          <w:sz w:val="30"/>
          <w:szCs w:val="30"/>
        </w:rPr>
        <w:t>元，占</w:t>
      </w:r>
      <w:r>
        <w:rPr>
          <w:rFonts w:ascii="Times New Roman" w:eastAsia="仿宋_GB2312"/>
          <w:sz w:val="30"/>
          <w:szCs w:val="30"/>
        </w:rPr>
        <w:t>18.287%</w:t>
      </w:r>
      <w:r>
        <w:rPr>
          <w:rFonts w:ascii="Times New Roman" w:eastAsia="仿宋_GB2312"/>
          <w:sz w:val="30"/>
          <w:szCs w:val="30"/>
        </w:rPr>
        <w:t>；住房保障支出（类）</w:t>
      </w:r>
      <w:r>
        <w:rPr>
          <w:rFonts w:ascii="Times New Roman" w:eastAsia="仿宋_GB2312"/>
          <w:sz w:val="30"/>
          <w:szCs w:val="30"/>
        </w:rPr>
        <w:t>7,614,102.62</w:t>
      </w:r>
      <w:r>
        <w:rPr>
          <w:rFonts w:ascii="Times New Roman" w:eastAsia="仿宋_GB2312"/>
          <w:sz w:val="30"/>
          <w:szCs w:val="30"/>
        </w:rPr>
        <w:t>元，占</w:t>
      </w:r>
      <w:r>
        <w:rPr>
          <w:rFonts w:ascii="Times New Roman" w:eastAsia="仿宋_GB2312"/>
          <w:sz w:val="30"/>
          <w:szCs w:val="30"/>
        </w:rPr>
        <w:t>19.115%</w:t>
      </w:r>
      <w:r>
        <w:rPr>
          <w:rFonts w:ascii="Times New Roman" w:eastAsia="仿宋_GB2312"/>
          <w:sz w:val="30"/>
          <w:szCs w:val="30"/>
        </w:rPr>
        <w:t>。</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37,731,200.00</w:t>
      </w:r>
      <w:r>
        <w:rPr>
          <w:rFonts w:ascii="Times New Roman" w:eastAsia="仿宋_GB2312"/>
          <w:sz w:val="30"/>
          <w:szCs w:val="30"/>
        </w:rPr>
        <w:t>元，支出决算为</w:t>
      </w:r>
      <w:r>
        <w:rPr>
          <w:rFonts w:ascii="Times New Roman" w:eastAsia="仿宋_GB2312"/>
          <w:sz w:val="30"/>
          <w:szCs w:val="30"/>
        </w:rPr>
        <w:t>39,833,273.79</w:t>
      </w:r>
      <w:r>
        <w:rPr>
          <w:rFonts w:ascii="Times New Roman" w:eastAsia="仿宋_GB2312"/>
          <w:sz w:val="30"/>
          <w:szCs w:val="30"/>
        </w:rPr>
        <w:t>元，完成年初预算的</w:t>
      </w:r>
      <w:r>
        <w:rPr>
          <w:rFonts w:ascii="Times New Roman" w:eastAsia="仿宋_GB2312"/>
          <w:sz w:val="30"/>
          <w:szCs w:val="30"/>
        </w:rPr>
        <w:t>105.571%</w:t>
      </w:r>
      <w:r>
        <w:rPr>
          <w:rFonts w:ascii="Times New Roman" w:eastAsia="仿宋_GB2312"/>
          <w:sz w:val="30"/>
          <w:szCs w:val="30"/>
        </w:rPr>
        <w:t>。其中：</w:t>
      </w:r>
      <w:r>
        <w:rPr>
          <w:rFonts w:ascii="Times New Roman" w:eastAsia="仿宋_GB2312"/>
          <w:sz w:val="30"/>
          <w:szCs w:val="30"/>
        </w:rPr>
        <w:t> </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人大事务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一般行政管理事务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54,000.00</w:t>
      </w:r>
      <w:r>
        <w:rPr>
          <w:rFonts w:ascii="Times New Roman" w:eastAsia="仿宋_GB2312"/>
          <w:sz w:val="30"/>
          <w:szCs w:val="30"/>
        </w:rPr>
        <w:t>元，支出决算为</w:t>
      </w:r>
      <w:r>
        <w:rPr>
          <w:rFonts w:ascii="Times New Roman" w:eastAsia="仿宋_GB2312"/>
          <w:sz w:val="30"/>
          <w:szCs w:val="30"/>
        </w:rPr>
        <w:t>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，决算数</w:t>
      </w:r>
      <w:r w:rsidR="00EE2E24">
        <w:rPr>
          <w:rFonts w:ascii="Times New Roman" w:eastAsia="仿宋_GB2312"/>
          <w:sz w:val="30"/>
          <w:szCs w:val="30"/>
        </w:rPr>
        <w:t>小于年初预算数的主要原因是：按项目实际需求列支。</w:t>
      </w:r>
      <w:bookmarkStart w:id="0" w:name="_GoBack"/>
      <w:bookmarkEnd w:id="0"/>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政府办公厅（室）及相关机构事务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16,690,300.00</w:t>
      </w:r>
      <w:r>
        <w:rPr>
          <w:rFonts w:ascii="Times New Roman" w:eastAsia="仿宋_GB2312"/>
          <w:sz w:val="30"/>
          <w:szCs w:val="30"/>
        </w:rPr>
        <w:t>元，支出决算为</w:t>
      </w:r>
      <w:r>
        <w:rPr>
          <w:rFonts w:ascii="Times New Roman" w:eastAsia="仿宋_GB2312"/>
          <w:sz w:val="30"/>
          <w:szCs w:val="30"/>
        </w:rPr>
        <w:t>16,517,623.74</w:t>
      </w:r>
      <w:r>
        <w:rPr>
          <w:rFonts w:ascii="Times New Roman" w:eastAsia="仿宋_GB2312"/>
          <w:sz w:val="30"/>
          <w:szCs w:val="30"/>
        </w:rPr>
        <w:t>元，完成年初预算的</w:t>
      </w:r>
      <w:r>
        <w:rPr>
          <w:rFonts w:ascii="Times New Roman" w:eastAsia="仿宋_GB2312"/>
          <w:sz w:val="30"/>
          <w:szCs w:val="30"/>
        </w:rPr>
        <w:t>98.965%</w:t>
      </w:r>
      <w:r>
        <w:rPr>
          <w:rFonts w:ascii="Times New Roman" w:eastAsia="仿宋_GB2312"/>
          <w:sz w:val="30"/>
          <w:szCs w:val="30"/>
        </w:rPr>
        <w:t>，决算数小于年初预算数的主要原因是：压减项目经费，节约支出。</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教育支出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普通教育</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其他普通教育支出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10,000.00</w:t>
      </w:r>
      <w:r>
        <w:rPr>
          <w:rFonts w:ascii="Times New Roman" w:eastAsia="仿宋_GB2312"/>
          <w:sz w:val="30"/>
          <w:szCs w:val="30"/>
        </w:rPr>
        <w:t>元，决算数大于年初预算数的主要原因是：调整预算，追加</w:t>
      </w:r>
      <w:r>
        <w:rPr>
          <w:rFonts w:ascii="Times New Roman" w:eastAsia="仿宋_GB2312"/>
          <w:sz w:val="30"/>
          <w:szCs w:val="30"/>
        </w:rPr>
        <w:t>2024</w:t>
      </w:r>
      <w:r>
        <w:rPr>
          <w:rFonts w:ascii="Times New Roman" w:eastAsia="仿宋_GB2312"/>
          <w:sz w:val="30"/>
          <w:szCs w:val="30"/>
        </w:rPr>
        <w:t>年度</w:t>
      </w:r>
      <w:r>
        <w:rPr>
          <w:rFonts w:ascii="Times New Roman" w:eastAsia="仿宋_GB2312"/>
          <w:sz w:val="30"/>
          <w:szCs w:val="30"/>
        </w:rPr>
        <w:t>“</w:t>
      </w:r>
      <w:r>
        <w:rPr>
          <w:rFonts w:ascii="Times New Roman" w:eastAsia="仿宋_GB2312"/>
          <w:sz w:val="30"/>
          <w:szCs w:val="30"/>
        </w:rPr>
        <w:t>五爱</w:t>
      </w:r>
      <w:r>
        <w:rPr>
          <w:rFonts w:ascii="Times New Roman" w:eastAsia="仿宋_GB2312"/>
          <w:sz w:val="30"/>
          <w:szCs w:val="30"/>
        </w:rPr>
        <w:t>”</w:t>
      </w:r>
      <w:r>
        <w:rPr>
          <w:rFonts w:ascii="Times New Roman" w:eastAsia="仿宋_GB2312"/>
          <w:sz w:val="30"/>
          <w:szCs w:val="30"/>
        </w:rPr>
        <w:t>教育阵地专项经费。</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社会保障</w:t>
      </w:r>
      <w:r>
        <w:rPr>
          <w:rFonts w:ascii="Times New Roman" w:eastAsia="仿宋_GB2312"/>
          <w:sz w:val="30"/>
          <w:szCs w:val="30"/>
        </w:rPr>
        <w:t>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民政管理事务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基层政权建设和社区治理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1,506,000.00</w:t>
      </w:r>
      <w:r>
        <w:rPr>
          <w:rFonts w:ascii="Times New Roman" w:eastAsia="仿宋_GB2312"/>
          <w:sz w:val="30"/>
          <w:szCs w:val="30"/>
        </w:rPr>
        <w:t>元，支出决算为</w:t>
      </w:r>
      <w:r>
        <w:rPr>
          <w:rFonts w:ascii="Times New Roman" w:eastAsia="仿宋_GB2312"/>
          <w:sz w:val="30"/>
          <w:szCs w:val="30"/>
        </w:rPr>
        <w:t>1,250,562.05</w:t>
      </w:r>
      <w:r>
        <w:rPr>
          <w:rFonts w:ascii="Times New Roman" w:eastAsia="仿宋_GB2312"/>
          <w:sz w:val="30"/>
          <w:szCs w:val="30"/>
        </w:rPr>
        <w:t>元，完成年初预算的</w:t>
      </w:r>
      <w:r>
        <w:rPr>
          <w:rFonts w:ascii="Times New Roman" w:eastAsia="仿宋_GB2312"/>
          <w:sz w:val="30"/>
          <w:szCs w:val="30"/>
        </w:rPr>
        <w:t>83.039%</w:t>
      </w:r>
      <w:r>
        <w:rPr>
          <w:rFonts w:ascii="Times New Roman" w:eastAsia="仿宋_GB2312"/>
          <w:sz w:val="30"/>
          <w:szCs w:val="30"/>
        </w:rPr>
        <w:t>，决算数小于年初预算数的主要原因是：压减项目经费，节约支出。</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799,900.00</w:t>
      </w:r>
      <w:r>
        <w:rPr>
          <w:rFonts w:ascii="Times New Roman" w:eastAsia="仿宋_GB2312"/>
          <w:sz w:val="30"/>
          <w:szCs w:val="30"/>
        </w:rPr>
        <w:t>元，支出决算为</w:t>
      </w:r>
      <w:r>
        <w:rPr>
          <w:rFonts w:ascii="Times New Roman" w:eastAsia="仿宋_GB2312"/>
          <w:sz w:val="30"/>
          <w:szCs w:val="30"/>
        </w:rPr>
        <w:t>824,910.10</w:t>
      </w:r>
      <w:r>
        <w:rPr>
          <w:rFonts w:ascii="Times New Roman" w:eastAsia="仿宋_GB2312"/>
          <w:sz w:val="30"/>
          <w:szCs w:val="30"/>
        </w:rPr>
        <w:t>元，完成年初预算的</w:t>
      </w:r>
      <w:r>
        <w:rPr>
          <w:rFonts w:ascii="Times New Roman" w:eastAsia="仿宋_GB2312"/>
          <w:sz w:val="30"/>
          <w:szCs w:val="30"/>
        </w:rPr>
        <w:t>103.127%</w:t>
      </w:r>
      <w:r>
        <w:rPr>
          <w:rFonts w:ascii="Times New Roman" w:eastAsia="仿宋_GB2312"/>
          <w:sz w:val="30"/>
          <w:szCs w:val="30"/>
        </w:rPr>
        <w:t>，决算数大于年初预算数的主要原因是：人员增加，养老保险缴费支出增加。</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社会保障和就业支</w:t>
      </w:r>
      <w:r>
        <w:rPr>
          <w:rFonts w:ascii="Times New Roman" w:eastAsia="仿宋_GB2312"/>
          <w:sz w:val="30"/>
          <w:szCs w:val="30"/>
        </w:rPr>
        <w:t>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399,900.00</w:t>
      </w:r>
      <w:r>
        <w:rPr>
          <w:rFonts w:ascii="Times New Roman" w:eastAsia="仿宋_GB2312"/>
          <w:sz w:val="30"/>
          <w:szCs w:val="30"/>
        </w:rPr>
        <w:t>元，支出决算为</w:t>
      </w:r>
      <w:r>
        <w:rPr>
          <w:rFonts w:ascii="Times New Roman" w:eastAsia="仿宋_GB2312"/>
          <w:sz w:val="30"/>
          <w:szCs w:val="30"/>
        </w:rPr>
        <w:t>412,448.96</w:t>
      </w:r>
      <w:r>
        <w:rPr>
          <w:rFonts w:ascii="Times New Roman" w:eastAsia="仿宋_GB2312"/>
          <w:sz w:val="30"/>
          <w:szCs w:val="30"/>
        </w:rPr>
        <w:t>元，完成年初预算的</w:t>
      </w:r>
      <w:r>
        <w:rPr>
          <w:rFonts w:ascii="Times New Roman" w:eastAsia="仿宋_GB2312"/>
          <w:sz w:val="30"/>
          <w:szCs w:val="30"/>
        </w:rPr>
        <w:t>103.138%</w:t>
      </w:r>
      <w:r>
        <w:rPr>
          <w:rFonts w:ascii="Times New Roman" w:eastAsia="仿宋_GB2312"/>
          <w:sz w:val="30"/>
          <w:szCs w:val="30"/>
        </w:rPr>
        <w:t>，决算数大于年初预算数的主要原因是：人员增加，职业年金缴费支出增加。</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7.</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临时救助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临时救助支出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300,000.00</w:t>
      </w:r>
      <w:r>
        <w:rPr>
          <w:rFonts w:ascii="Times New Roman" w:eastAsia="仿宋_GB2312"/>
          <w:sz w:val="30"/>
          <w:szCs w:val="30"/>
        </w:rPr>
        <w:t>元，支出决算为</w:t>
      </w:r>
      <w:r>
        <w:rPr>
          <w:rFonts w:ascii="Times New Roman" w:eastAsia="仿宋_GB2312"/>
          <w:sz w:val="30"/>
          <w:szCs w:val="30"/>
        </w:rPr>
        <w:t>469,530.00</w:t>
      </w:r>
      <w:r>
        <w:rPr>
          <w:rFonts w:ascii="Times New Roman" w:eastAsia="仿宋_GB2312"/>
          <w:sz w:val="30"/>
          <w:szCs w:val="30"/>
        </w:rPr>
        <w:t>元，完成年初预算的</w:t>
      </w:r>
      <w:r>
        <w:rPr>
          <w:rFonts w:ascii="Times New Roman" w:eastAsia="仿宋_GB2312"/>
          <w:sz w:val="30"/>
          <w:szCs w:val="30"/>
        </w:rPr>
        <w:t>156.510%</w:t>
      </w:r>
      <w:r>
        <w:rPr>
          <w:rFonts w:ascii="Times New Roman" w:eastAsia="仿宋_GB2312"/>
          <w:sz w:val="30"/>
          <w:szCs w:val="30"/>
        </w:rPr>
        <w:t>，决算数大于年初预算数的主要原因是：调整预算，按实际支出列支。</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w:t>
      </w:r>
      <w:r>
        <w:rPr>
          <w:rFonts w:ascii="Times New Roman" w:eastAsia="仿宋_GB2312"/>
          <w:sz w:val="30"/>
          <w:szCs w:val="30"/>
        </w:rPr>
        <w:t>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499,900.00</w:t>
      </w:r>
      <w:r>
        <w:rPr>
          <w:rFonts w:ascii="Times New Roman" w:eastAsia="仿宋_GB2312"/>
          <w:sz w:val="30"/>
          <w:szCs w:val="30"/>
        </w:rPr>
        <w:t>元，支出决算为</w:t>
      </w:r>
      <w:r>
        <w:rPr>
          <w:rFonts w:ascii="Times New Roman" w:eastAsia="仿宋_GB2312"/>
          <w:sz w:val="30"/>
          <w:szCs w:val="30"/>
        </w:rPr>
        <w:t>515,570.00</w:t>
      </w:r>
      <w:r>
        <w:rPr>
          <w:rFonts w:ascii="Times New Roman" w:eastAsia="仿宋_GB2312"/>
          <w:sz w:val="30"/>
          <w:szCs w:val="30"/>
        </w:rPr>
        <w:t>元，完成年初预算的</w:t>
      </w:r>
      <w:r>
        <w:rPr>
          <w:rFonts w:ascii="Times New Roman" w:eastAsia="仿宋_GB2312"/>
          <w:sz w:val="30"/>
          <w:szCs w:val="30"/>
        </w:rPr>
        <w:t>103.135%</w:t>
      </w:r>
      <w:r>
        <w:rPr>
          <w:rFonts w:ascii="Times New Roman" w:eastAsia="仿宋_GB2312"/>
          <w:sz w:val="30"/>
          <w:szCs w:val="30"/>
        </w:rPr>
        <w:t>，决算数大于年初预算数的主要原因是：人员增加，医疗缴费支出增加。</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9.</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100,000.00</w:t>
      </w:r>
      <w:r>
        <w:rPr>
          <w:rFonts w:ascii="Times New Roman" w:eastAsia="仿宋_GB2312"/>
          <w:sz w:val="30"/>
          <w:szCs w:val="30"/>
        </w:rPr>
        <w:t>元，支出决算为</w:t>
      </w:r>
      <w:r>
        <w:rPr>
          <w:rFonts w:ascii="Times New Roman" w:eastAsia="仿宋_GB2312"/>
          <w:sz w:val="30"/>
          <w:szCs w:val="30"/>
        </w:rPr>
        <w:t>103,112.24</w:t>
      </w:r>
      <w:r>
        <w:rPr>
          <w:rFonts w:ascii="Times New Roman" w:eastAsia="仿宋_GB2312"/>
          <w:sz w:val="30"/>
          <w:szCs w:val="30"/>
        </w:rPr>
        <w:t>元，完成年初预算的</w:t>
      </w:r>
      <w:r>
        <w:rPr>
          <w:rFonts w:ascii="Times New Roman" w:eastAsia="仿宋_GB2312"/>
          <w:sz w:val="30"/>
          <w:szCs w:val="30"/>
        </w:rPr>
        <w:t>103.112%</w:t>
      </w:r>
      <w:r>
        <w:rPr>
          <w:rFonts w:ascii="Times New Roman" w:eastAsia="仿宋_GB2312"/>
          <w:sz w:val="30"/>
          <w:szCs w:val="30"/>
        </w:rPr>
        <w:t>，决算数大于年初预算数的主要原因是：人员增加，公务员医疗补助缴费支出增加。</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10.</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其他城乡社区支出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2,946,00</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4,831,188.04</w:t>
      </w:r>
      <w:r>
        <w:rPr>
          <w:rFonts w:ascii="Times New Roman" w:eastAsia="仿宋_GB2312"/>
          <w:sz w:val="30"/>
          <w:szCs w:val="30"/>
        </w:rPr>
        <w:t>元，完成年初预算的</w:t>
      </w:r>
      <w:r>
        <w:rPr>
          <w:rFonts w:ascii="Times New Roman" w:eastAsia="仿宋_GB2312"/>
          <w:sz w:val="30"/>
          <w:szCs w:val="30"/>
        </w:rPr>
        <w:t>163.991%</w:t>
      </w:r>
      <w:r>
        <w:rPr>
          <w:rFonts w:ascii="Times New Roman" w:eastAsia="仿宋_GB2312"/>
          <w:sz w:val="30"/>
          <w:szCs w:val="30"/>
        </w:rPr>
        <w:t>，决算数大于年初预算数的主要原因是：调整预算，新增体制分成项目支出增加。</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11.</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农业农村</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其他农业农村支出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4,835,000.00</w:t>
      </w:r>
      <w:r>
        <w:rPr>
          <w:rFonts w:ascii="Times New Roman" w:eastAsia="仿宋_GB2312"/>
          <w:sz w:val="30"/>
          <w:szCs w:val="30"/>
        </w:rPr>
        <w:t>元，支出决算为</w:t>
      </w:r>
      <w:r>
        <w:rPr>
          <w:rFonts w:ascii="Times New Roman" w:eastAsia="仿宋_GB2312"/>
          <w:sz w:val="30"/>
          <w:szCs w:val="30"/>
        </w:rPr>
        <w:t>4,792,522.00</w:t>
      </w:r>
      <w:r>
        <w:rPr>
          <w:rFonts w:ascii="Times New Roman" w:eastAsia="仿宋_GB2312"/>
          <w:sz w:val="30"/>
          <w:szCs w:val="30"/>
        </w:rPr>
        <w:t>元，完成年初预算的</w:t>
      </w:r>
      <w:r>
        <w:rPr>
          <w:rFonts w:ascii="Times New Roman" w:eastAsia="仿宋_GB2312"/>
          <w:sz w:val="30"/>
          <w:szCs w:val="30"/>
        </w:rPr>
        <w:lastRenderedPageBreak/>
        <w:t>99.121%</w:t>
      </w:r>
      <w:r>
        <w:rPr>
          <w:rFonts w:ascii="Times New Roman" w:eastAsia="仿宋_GB2312"/>
          <w:sz w:val="30"/>
          <w:szCs w:val="30"/>
        </w:rPr>
        <w:t>，决算数小于年初预算数的主要原因是：根据实际支出压减部分费用。</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12.</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巩固脱贫攻坚成果衔接乡村振兴</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其他巩固脱贫攻坚成果衔接乡村振兴支出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160,000.00</w:t>
      </w:r>
      <w:r>
        <w:rPr>
          <w:rFonts w:ascii="Times New Roman" w:eastAsia="仿宋_GB2312"/>
          <w:sz w:val="30"/>
          <w:szCs w:val="30"/>
        </w:rPr>
        <w:t>元，支出决算为</w:t>
      </w:r>
      <w:r>
        <w:rPr>
          <w:rFonts w:ascii="Times New Roman" w:eastAsia="仿宋_GB2312"/>
          <w:sz w:val="30"/>
          <w:szCs w:val="30"/>
        </w:rPr>
        <w:t>130,000.00</w:t>
      </w:r>
      <w:r>
        <w:rPr>
          <w:rFonts w:ascii="Times New Roman" w:eastAsia="仿宋_GB2312"/>
          <w:sz w:val="30"/>
          <w:szCs w:val="30"/>
        </w:rPr>
        <w:t>元，完成年初预算的</w:t>
      </w:r>
      <w:r>
        <w:rPr>
          <w:rFonts w:ascii="Times New Roman" w:eastAsia="仿宋_GB2312"/>
          <w:sz w:val="30"/>
          <w:szCs w:val="30"/>
        </w:rPr>
        <w:t>81.250%</w:t>
      </w:r>
      <w:r>
        <w:rPr>
          <w:rFonts w:ascii="Times New Roman" w:eastAsia="仿宋_GB2312"/>
          <w:sz w:val="30"/>
          <w:szCs w:val="30"/>
        </w:rPr>
        <w:t>，决算数小于年初预算数的主要原因是：按照要求核减支出。</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13.</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农村综合改革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对村民委员会和村党支部的补助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2,590,000.00</w:t>
      </w:r>
      <w:r>
        <w:rPr>
          <w:rFonts w:ascii="Times New Roman" w:eastAsia="仿宋_GB2312"/>
          <w:sz w:val="30"/>
          <w:szCs w:val="30"/>
        </w:rPr>
        <w:t>元，支出决算为</w:t>
      </w:r>
      <w:r>
        <w:rPr>
          <w:rFonts w:ascii="Times New Roman" w:eastAsia="仿宋_GB2312"/>
          <w:sz w:val="30"/>
          <w:szCs w:val="30"/>
        </w:rPr>
        <w:t>2,361,704.04</w:t>
      </w:r>
      <w:r>
        <w:rPr>
          <w:rFonts w:ascii="Times New Roman" w:eastAsia="仿宋_GB2312"/>
          <w:sz w:val="30"/>
          <w:szCs w:val="30"/>
        </w:rPr>
        <w:t>元，完成年初预算的</w:t>
      </w:r>
      <w:r>
        <w:rPr>
          <w:rFonts w:ascii="Times New Roman" w:eastAsia="仿宋_GB2312"/>
          <w:sz w:val="30"/>
          <w:szCs w:val="30"/>
        </w:rPr>
        <w:t>91.185%</w:t>
      </w:r>
      <w:r>
        <w:rPr>
          <w:rFonts w:ascii="Times New Roman" w:eastAsia="仿宋_GB2312"/>
          <w:sz w:val="30"/>
          <w:szCs w:val="30"/>
        </w:rPr>
        <w:t>，决算数小于年初预算数的主要原因是：根据实际考核压减支出。</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14.</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保障性安居工程支出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老旧小区改造</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4,367,500.00</w:t>
      </w:r>
      <w:r>
        <w:rPr>
          <w:rFonts w:ascii="Times New Roman" w:eastAsia="仿宋_GB2312"/>
          <w:sz w:val="30"/>
          <w:szCs w:val="30"/>
        </w:rPr>
        <w:t>元，支出决算为</w:t>
      </w:r>
      <w:r>
        <w:rPr>
          <w:rFonts w:ascii="Times New Roman" w:eastAsia="仿宋_GB2312"/>
          <w:sz w:val="30"/>
          <w:szCs w:val="30"/>
        </w:rPr>
        <w:t>4,994,137.62</w:t>
      </w:r>
      <w:r>
        <w:rPr>
          <w:rFonts w:ascii="Times New Roman" w:eastAsia="仿宋_GB2312"/>
          <w:sz w:val="30"/>
          <w:szCs w:val="30"/>
        </w:rPr>
        <w:t>元，完成年</w:t>
      </w:r>
      <w:r>
        <w:rPr>
          <w:rFonts w:ascii="Times New Roman" w:eastAsia="仿宋_GB2312"/>
          <w:sz w:val="30"/>
          <w:szCs w:val="30"/>
        </w:rPr>
        <w:t>初预算的</w:t>
      </w:r>
      <w:r>
        <w:rPr>
          <w:rFonts w:ascii="Times New Roman" w:eastAsia="仿宋_GB2312"/>
          <w:sz w:val="30"/>
          <w:szCs w:val="30"/>
        </w:rPr>
        <w:t>114.348%</w:t>
      </w:r>
      <w:r>
        <w:rPr>
          <w:rFonts w:ascii="Times New Roman" w:eastAsia="仿宋_GB2312"/>
          <w:sz w:val="30"/>
          <w:szCs w:val="30"/>
        </w:rPr>
        <w:t>，决算数大于年初预算数的主要原因是：调整预算，按实际支出列支。</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2,482,700.00</w:t>
      </w:r>
      <w:r>
        <w:rPr>
          <w:rFonts w:ascii="Times New Roman" w:eastAsia="仿宋_GB2312"/>
          <w:sz w:val="30"/>
          <w:szCs w:val="30"/>
        </w:rPr>
        <w:t>元，支出决算为</w:t>
      </w:r>
      <w:r>
        <w:rPr>
          <w:rFonts w:ascii="Times New Roman" w:eastAsia="仿宋_GB2312"/>
          <w:sz w:val="30"/>
          <w:szCs w:val="30"/>
        </w:rPr>
        <w:t>2,619,965.00</w:t>
      </w:r>
      <w:r>
        <w:rPr>
          <w:rFonts w:ascii="Times New Roman" w:eastAsia="仿宋_GB2312"/>
          <w:sz w:val="30"/>
          <w:szCs w:val="30"/>
        </w:rPr>
        <w:t>元，完成年初预算的</w:t>
      </w:r>
      <w:r>
        <w:rPr>
          <w:rFonts w:ascii="Times New Roman" w:eastAsia="仿宋_GB2312"/>
          <w:sz w:val="30"/>
          <w:szCs w:val="30"/>
        </w:rPr>
        <w:t>105.529%</w:t>
      </w:r>
      <w:r>
        <w:rPr>
          <w:rFonts w:ascii="Times New Roman" w:eastAsia="仿宋_GB2312"/>
          <w:sz w:val="30"/>
          <w:szCs w:val="30"/>
        </w:rPr>
        <w:t>，决算数大于年初预算数的主要原因是：人员增加，住房公积金缴费支出增加。</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天津市东丽区人民政府万新街道办事处（本级）</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14,315,873.56</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w:t>
      </w:r>
      <w:r>
        <w:rPr>
          <w:rFonts w:ascii="Times New Roman" w:eastAsia="仿宋_GB2312"/>
          <w:sz w:val="30"/>
          <w:szCs w:val="30"/>
        </w:rPr>
        <w:t>比增加</w:t>
      </w:r>
      <w:r>
        <w:rPr>
          <w:rFonts w:ascii="Times New Roman" w:eastAsia="仿宋_GB2312"/>
          <w:sz w:val="30"/>
          <w:szCs w:val="30"/>
        </w:rPr>
        <w:t>957,235.96</w:t>
      </w:r>
      <w:r>
        <w:rPr>
          <w:rFonts w:ascii="Times New Roman" w:eastAsia="仿宋_GB2312"/>
          <w:sz w:val="30"/>
          <w:szCs w:val="30"/>
        </w:rPr>
        <w:t>元，主要原因是人员经费增加。其中：</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12,653,490.09</w:t>
      </w:r>
      <w:r>
        <w:rPr>
          <w:rFonts w:ascii="Times New Roman" w:eastAsia="仿宋_GB2312"/>
          <w:sz w:val="30"/>
          <w:szCs w:val="30"/>
        </w:rPr>
        <w:t>元，主要包括基本工资、津贴补贴、奖金、机关事业单位基本养老保险缴费、职业年金缴费、职工基本医疗保险缴费、公务员医疗补助缴费、其他社会保障缴费、住房公积金、其他工资福利支出、退休费、生活补助和其他对个人和家庭的补助。</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1,662,383.47</w:t>
      </w:r>
      <w:r>
        <w:rPr>
          <w:rFonts w:ascii="Times New Roman" w:eastAsia="仿宋_GB2312"/>
          <w:sz w:val="30"/>
          <w:szCs w:val="30"/>
        </w:rPr>
        <w:t>元，主要包括</w:t>
      </w:r>
      <w:r>
        <w:rPr>
          <w:rFonts w:ascii="Times New Roman" w:eastAsia="仿宋_GB2312"/>
          <w:sz w:val="30"/>
          <w:szCs w:val="30"/>
        </w:rPr>
        <w:t>办公费、水费、电费、邮电费、取暖费、物业管理费、差旅费、培训费、专用燃料费、工会经费、福利费、公务用车运行维护费、其他交通费用、税金及附加费用和其他商品和服务支出。</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天津市东丽区人民政府万新街道办事处（本级）</w:t>
      </w:r>
      <w:r>
        <w:rPr>
          <w:rFonts w:ascii="Times New Roman" w:eastAsia="仿宋_GB2312"/>
          <w:sz w:val="30"/>
          <w:szCs w:val="30"/>
        </w:rPr>
        <w:t>2024</w:t>
      </w:r>
      <w:r>
        <w:rPr>
          <w:rFonts w:ascii="Times New Roman" w:eastAsia="仿宋_GB2312"/>
          <w:sz w:val="30"/>
          <w:szCs w:val="30"/>
        </w:rPr>
        <w:t>年度部门决算政府性基金预算财政拨款年初结转和结余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1,939,863.79</w:t>
      </w:r>
      <w:r>
        <w:rPr>
          <w:rFonts w:ascii="Times New Roman" w:eastAsia="仿宋_GB2312"/>
          <w:sz w:val="30"/>
          <w:szCs w:val="30"/>
        </w:rPr>
        <w:t>元，支出</w:t>
      </w:r>
      <w:r>
        <w:rPr>
          <w:rFonts w:ascii="Times New Roman" w:eastAsia="仿宋_GB2312"/>
          <w:sz w:val="30"/>
          <w:szCs w:val="30"/>
        </w:rPr>
        <w:t>1,939,863.79</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年度相比，政府性基金预算财政拨款支出增加</w:t>
      </w:r>
      <w:r>
        <w:rPr>
          <w:rFonts w:ascii="Times New Roman" w:eastAsia="仿宋_GB2312"/>
          <w:sz w:val="30"/>
          <w:szCs w:val="30"/>
        </w:rPr>
        <w:t>1,899,363.79</w:t>
      </w:r>
      <w:r>
        <w:rPr>
          <w:rFonts w:ascii="Times New Roman" w:eastAsia="仿宋_GB2312"/>
          <w:sz w:val="30"/>
          <w:szCs w:val="30"/>
        </w:rPr>
        <w:t>元，增长</w:t>
      </w:r>
      <w:r>
        <w:rPr>
          <w:rFonts w:ascii="Times New Roman" w:eastAsia="仿宋_GB2312"/>
          <w:sz w:val="30"/>
          <w:szCs w:val="30"/>
        </w:rPr>
        <w:t>4,</w:t>
      </w:r>
      <w:r>
        <w:rPr>
          <w:rFonts w:ascii="Times New Roman" w:eastAsia="仿宋_GB2312"/>
          <w:sz w:val="30"/>
          <w:szCs w:val="30"/>
        </w:rPr>
        <w:t>689.787%</w:t>
      </w:r>
      <w:r>
        <w:rPr>
          <w:rFonts w:ascii="Times New Roman" w:eastAsia="仿宋_GB2312"/>
          <w:sz w:val="30"/>
          <w:szCs w:val="30"/>
        </w:rPr>
        <w:t>，主要原因是是新增政府基金，支出增加。</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年度政府性基金预算财政拨款支出</w:t>
      </w:r>
      <w:r>
        <w:rPr>
          <w:rFonts w:ascii="Times New Roman" w:eastAsia="仿宋_GB2312"/>
          <w:sz w:val="30"/>
          <w:szCs w:val="30"/>
        </w:rPr>
        <w:t>1,939,863.79</w:t>
      </w:r>
      <w:r>
        <w:rPr>
          <w:rFonts w:ascii="Times New Roman" w:eastAsia="仿宋_GB2312"/>
          <w:sz w:val="30"/>
          <w:szCs w:val="30"/>
        </w:rPr>
        <w:t>元，主要用于以下方面：资源勘探工业信息等支出（类）</w:t>
      </w:r>
      <w:r>
        <w:rPr>
          <w:rFonts w:ascii="Times New Roman" w:eastAsia="仿宋_GB2312"/>
          <w:sz w:val="30"/>
          <w:szCs w:val="30"/>
        </w:rPr>
        <w:t>1,939,863.79</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1,939,863.79</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。其中：</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资源勘探工业信息等支出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制造业</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1,939,86</w:t>
      </w:r>
      <w:r>
        <w:rPr>
          <w:rFonts w:ascii="Times New Roman" w:eastAsia="仿宋_GB2312"/>
          <w:sz w:val="30"/>
          <w:szCs w:val="30"/>
        </w:rPr>
        <w:t>3.79</w:t>
      </w:r>
      <w:r>
        <w:rPr>
          <w:rFonts w:ascii="Times New Roman" w:eastAsia="仿宋_GB2312"/>
          <w:sz w:val="30"/>
          <w:szCs w:val="30"/>
        </w:rPr>
        <w:t>元，决算数大于年初预算数的主要原因是：新增政府基金，支出增加。</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天津市东丽区人民政府万新街道办事处（本级）</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29,657.93</w:t>
      </w:r>
      <w:r>
        <w:rPr>
          <w:rFonts w:ascii="Times New Roman" w:eastAsia="仿宋_GB2312"/>
          <w:sz w:val="30"/>
          <w:szCs w:val="30"/>
        </w:rPr>
        <w:t>元，支出决算</w:t>
      </w:r>
      <w:r>
        <w:rPr>
          <w:rFonts w:ascii="Times New Roman" w:eastAsia="仿宋_GB2312"/>
          <w:sz w:val="30"/>
          <w:szCs w:val="30"/>
        </w:rPr>
        <w:t>29,657.93</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25,954.29</w:t>
      </w:r>
      <w:r>
        <w:rPr>
          <w:rFonts w:ascii="Times New Roman" w:eastAsia="仿宋_GB2312"/>
          <w:sz w:val="30"/>
          <w:szCs w:val="30"/>
        </w:rPr>
        <w:t>元，增长</w:t>
      </w:r>
      <w:r>
        <w:rPr>
          <w:rFonts w:ascii="Times New Roman" w:eastAsia="仿宋_GB2312"/>
          <w:sz w:val="30"/>
          <w:szCs w:val="30"/>
        </w:rPr>
        <w:t>700.778%</w:t>
      </w:r>
      <w:r>
        <w:rPr>
          <w:rFonts w:ascii="Times New Roman" w:eastAsia="仿宋_GB2312"/>
          <w:sz w:val="30"/>
          <w:szCs w:val="30"/>
        </w:rPr>
        <w:t>。决算数与预算数持平的主要原因是</w:t>
      </w:r>
      <w:r>
        <w:rPr>
          <w:rFonts w:ascii="Times New Roman" w:eastAsia="仿宋_GB2312"/>
          <w:sz w:val="30"/>
          <w:szCs w:val="30"/>
        </w:rPr>
        <w:t>严格按照预算执行；决算数较上年增加的主要原因是公务用车运行维护费支出增加。</w:t>
      </w:r>
    </w:p>
    <w:p w:rsidR="0016738F" w:rsidRDefault="00F04FD8" w:rsidP="00EE2E24">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（二）具体情况</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29,657.93</w:t>
      </w:r>
      <w:r>
        <w:rPr>
          <w:rFonts w:ascii="Times New Roman" w:eastAsia="仿宋_GB2312"/>
          <w:sz w:val="30"/>
          <w:szCs w:val="30"/>
        </w:rPr>
        <w:t>元，支出决算</w:t>
      </w:r>
      <w:r>
        <w:rPr>
          <w:rFonts w:ascii="Times New Roman" w:eastAsia="仿宋_GB2312"/>
          <w:sz w:val="30"/>
          <w:szCs w:val="30"/>
        </w:rPr>
        <w:t>29,657.93</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w:t>
      </w:r>
      <w:r>
        <w:rPr>
          <w:rFonts w:ascii="Times New Roman" w:eastAsia="仿宋_GB2312"/>
          <w:sz w:val="30"/>
          <w:szCs w:val="30"/>
        </w:rPr>
        <w:t>增加</w:t>
      </w:r>
      <w:r>
        <w:rPr>
          <w:rFonts w:ascii="Times New Roman" w:eastAsia="仿宋_GB2312"/>
          <w:sz w:val="30"/>
          <w:szCs w:val="30"/>
        </w:rPr>
        <w:t>25,954.29</w:t>
      </w:r>
      <w:r>
        <w:rPr>
          <w:rFonts w:ascii="Times New Roman" w:eastAsia="仿宋_GB2312"/>
          <w:sz w:val="30"/>
          <w:szCs w:val="30"/>
        </w:rPr>
        <w:t>元，增长</w:t>
      </w:r>
      <w:r>
        <w:rPr>
          <w:rFonts w:ascii="Times New Roman" w:eastAsia="仿宋_GB2312"/>
          <w:sz w:val="30"/>
          <w:szCs w:val="30"/>
        </w:rPr>
        <w:t>700.778%</w:t>
      </w:r>
      <w:r>
        <w:rPr>
          <w:rFonts w:ascii="Times New Roman" w:eastAsia="仿宋_GB2312"/>
          <w:sz w:val="30"/>
          <w:szCs w:val="30"/>
        </w:rPr>
        <w:t>。决算数与预算数持平的主要原因是严格按照预算执行；决算数较上年增加的主要原因是公务用车运行维护费支出增加。其中：</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29,657.93</w:t>
      </w:r>
      <w:r>
        <w:rPr>
          <w:rFonts w:ascii="Times New Roman" w:eastAsia="仿宋_GB2312"/>
          <w:sz w:val="30"/>
          <w:szCs w:val="30"/>
        </w:rPr>
        <w:t>元，支出决算</w:t>
      </w:r>
      <w:r>
        <w:rPr>
          <w:rFonts w:ascii="Times New Roman" w:eastAsia="仿宋_GB2312"/>
          <w:sz w:val="30"/>
          <w:szCs w:val="30"/>
        </w:rPr>
        <w:t>29,657.93</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25,954.29</w:t>
      </w:r>
      <w:r>
        <w:rPr>
          <w:rFonts w:ascii="Times New Roman" w:eastAsia="仿宋_GB2312"/>
          <w:sz w:val="30"/>
          <w:szCs w:val="30"/>
        </w:rPr>
        <w:t>元，增长</w:t>
      </w:r>
      <w:r>
        <w:rPr>
          <w:rFonts w:ascii="Times New Roman" w:eastAsia="仿宋_GB2312"/>
          <w:sz w:val="30"/>
          <w:szCs w:val="30"/>
        </w:rPr>
        <w:t>700.778%</w:t>
      </w:r>
      <w:r>
        <w:rPr>
          <w:rFonts w:ascii="Times New Roman" w:eastAsia="仿宋_GB2312"/>
          <w:sz w:val="30"/>
          <w:szCs w:val="30"/>
        </w:rPr>
        <w:t>。决算数与预算数持平的主要原因是严格按照预算执行；决算数较上年增加的主要原因是根据公务用车实际情况，支出增加。</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w:t>
      </w:r>
      <w:r>
        <w:rPr>
          <w:rFonts w:ascii="Times New Roman" w:eastAsia="仿宋_GB2312"/>
          <w:sz w:val="30"/>
          <w:szCs w:val="30"/>
        </w:rPr>
        <w:t>车保有量为</w:t>
      </w:r>
      <w:r>
        <w:rPr>
          <w:rFonts w:ascii="Times New Roman" w:eastAsia="仿宋_GB2312"/>
          <w:sz w:val="30"/>
          <w:szCs w:val="30"/>
        </w:rPr>
        <w:t>2</w:t>
      </w:r>
      <w:r>
        <w:rPr>
          <w:rFonts w:ascii="Times New Roman" w:eastAsia="仿宋_GB2312"/>
          <w:sz w:val="30"/>
          <w:szCs w:val="30"/>
        </w:rPr>
        <w:t>辆。</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机关运行经费是指行政单位和参照公务员法管理的事业单位使用财政拨款安排的基本支出中的日常公用经费支出，天津市东丽区人民政府万新街道办事处（本级）</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1,684,645.89</w:t>
      </w:r>
      <w:r>
        <w:rPr>
          <w:rFonts w:ascii="Times New Roman" w:eastAsia="仿宋_GB2312"/>
          <w:sz w:val="30"/>
          <w:szCs w:val="30"/>
        </w:rPr>
        <w:t>元，决算数</w:t>
      </w:r>
      <w:r>
        <w:rPr>
          <w:rFonts w:ascii="Times New Roman" w:eastAsia="仿宋_GB2312"/>
          <w:sz w:val="30"/>
          <w:szCs w:val="30"/>
        </w:rPr>
        <w:t>1,662,383.47</w:t>
      </w:r>
      <w:r>
        <w:rPr>
          <w:rFonts w:ascii="Times New Roman" w:eastAsia="仿宋_GB2312"/>
          <w:sz w:val="30"/>
          <w:szCs w:val="30"/>
        </w:rPr>
        <w:t>元，与年初预算相比减少</w:t>
      </w:r>
      <w:r>
        <w:rPr>
          <w:rFonts w:ascii="Times New Roman" w:eastAsia="仿宋_GB2312"/>
          <w:sz w:val="30"/>
          <w:szCs w:val="30"/>
        </w:rPr>
        <w:t>22,262.42</w:t>
      </w:r>
      <w:r>
        <w:rPr>
          <w:rFonts w:ascii="Times New Roman" w:eastAsia="仿宋_GB2312"/>
          <w:sz w:val="30"/>
          <w:szCs w:val="30"/>
        </w:rPr>
        <w:t>元，完成年初预算的</w:t>
      </w:r>
      <w:r>
        <w:rPr>
          <w:rFonts w:ascii="Times New Roman" w:eastAsia="仿宋_GB2312"/>
          <w:sz w:val="30"/>
          <w:szCs w:val="30"/>
        </w:rPr>
        <w:t>98.679%</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336,709.62</w:t>
      </w:r>
      <w:r>
        <w:rPr>
          <w:rFonts w:ascii="Times New Roman" w:eastAsia="仿宋_GB2312"/>
          <w:sz w:val="30"/>
          <w:szCs w:val="30"/>
        </w:rPr>
        <w:t>元，增长</w:t>
      </w:r>
      <w:r>
        <w:rPr>
          <w:rFonts w:ascii="Times New Roman" w:eastAsia="仿宋_GB2312"/>
          <w:sz w:val="30"/>
          <w:szCs w:val="30"/>
        </w:rPr>
        <w:t>25.399%</w:t>
      </w:r>
      <w:r>
        <w:rPr>
          <w:rFonts w:ascii="Times New Roman" w:eastAsia="仿宋_GB2312"/>
          <w:sz w:val="30"/>
          <w:szCs w:val="30"/>
        </w:rPr>
        <w:t>。主要原因是：统筹使用经费，经费增加</w:t>
      </w:r>
      <w:r>
        <w:rPr>
          <w:rFonts w:ascii="Times New Roman" w:eastAsia="仿宋_GB2312"/>
          <w:sz w:val="30"/>
          <w:szCs w:val="30"/>
        </w:rPr>
        <w:t> </w:t>
      </w:r>
      <w:r>
        <w:rPr>
          <w:rFonts w:ascii="Times New Roman" w:eastAsia="仿宋_GB2312"/>
          <w:sz w:val="30"/>
          <w:szCs w:val="30"/>
        </w:rPr>
        <w:t>。</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天津市东丽区人民政府万新街道办事处（本级）</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17,473,587.60</w:t>
      </w:r>
      <w:r>
        <w:rPr>
          <w:rFonts w:ascii="Times New Roman" w:eastAsia="仿宋_GB2312"/>
          <w:sz w:val="30"/>
          <w:szCs w:val="30"/>
        </w:rPr>
        <w:t>元，其中：政府采购货物支出</w:t>
      </w:r>
      <w:r>
        <w:rPr>
          <w:rFonts w:ascii="Times New Roman" w:eastAsia="仿宋_GB2312"/>
          <w:sz w:val="30"/>
          <w:szCs w:val="30"/>
        </w:rPr>
        <w:t>23,830.00</w:t>
      </w:r>
      <w:r>
        <w:rPr>
          <w:rFonts w:ascii="Times New Roman" w:eastAsia="仿宋_GB2312"/>
          <w:sz w:val="30"/>
          <w:szCs w:val="30"/>
        </w:rPr>
        <w:t>元、政府采购工程支出</w:t>
      </w:r>
      <w:r>
        <w:rPr>
          <w:rFonts w:ascii="Times New Roman" w:eastAsia="仿宋_GB2312"/>
          <w:sz w:val="30"/>
          <w:szCs w:val="30"/>
        </w:rPr>
        <w:t>4,994,137.62</w:t>
      </w:r>
      <w:r>
        <w:rPr>
          <w:rFonts w:ascii="Times New Roman" w:eastAsia="仿宋_GB2312"/>
          <w:sz w:val="30"/>
          <w:szCs w:val="30"/>
        </w:rPr>
        <w:t>元、政府采购服务支出</w:t>
      </w:r>
      <w:r>
        <w:rPr>
          <w:rFonts w:ascii="Times New Roman" w:eastAsia="仿宋_GB2312"/>
          <w:sz w:val="30"/>
          <w:szCs w:val="30"/>
        </w:rPr>
        <w:t>12,455,619.98</w:t>
      </w:r>
      <w:r>
        <w:rPr>
          <w:rFonts w:ascii="Times New Roman" w:eastAsia="仿宋_GB2312"/>
          <w:sz w:val="30"/>
          <w:szCs w:val="30"/>
        </w:rPr>
        <w:t>元。</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13,051,249.98</w:t>
      </w:r>
      <w:r>
        <w:rPr>
          <w:rFonts w:ascii="Times New Roman" w:eastAsia="仿宋_GB2312"/>
          <w:sz w:val="30"/>
          <w:szCs w:val="30"/>
        </w:rPr>
        <w:t>元，占政府采购支出总额的</w:t>
      </w:r>
      <w:r>
        <w:rPr>
          <w:rFonts w:ascii="Times New Roman" w:eastAsia="仿宋_GB2312"/>
          <w:sz w:val="30"/>
          <w:szCs w:val="30"/>
        </w:rPr>
        <w:t>74.691%</w:t>
      </w:r>
      <w:r>
        <w:rPr>
          <w:rFonts w:ascii="Times New Roman" w:eastAsia="仿宋_GB2312"/>
          <w:sz w:val="30"/>
          <w:szCs w:val="30"/>
        </w:rPr>
        <w:t>，其中：授予小微企业合同金额</w:t>
      </w:r>
      <w:r>
        <w:rPr>
          <w:rFonts w:ascii="Times New Roman" w:eastAsia="仿宋_GB2312"/>
          <w:sz w:val="30"/>
          <w:szCs w:val="30"/>
        </w:rPr>
        <w:t>13,051,249.98</w:t>
      </w:r>
      <w:r>
        <w:rPr>
          <w:rFonts w:ascii="Times New Roman" w:eastAsia="仿宋_GB2312"/>
          <w:sz w:val="30"/>
          <w:szCs w:val="30"/>
        </w:rPr>
        <w:t>元，占政府采购支出总额的</w:t>
      </w:r>
      <w:r>
        <w:rPr>
          <w:rFonts w:ascii="Times New Roman" w:eastAsia="仿宋_GB2312"/>
          <w:sz w:val="30"/>
          <w:szCs w:val="30"/>
        </w:rPr>
        <w:t>74.691%</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w:t>
      </w:r>
      <w:r>
        <w:rPr>
          <w:rFonts w:ascii="Times New Roman" w:eastAsia="仿宋_GB2312"/>
          <w:sz w:val="30"/>
          <w:szCs w:val="30"/>
        </w:rPr>
        <w:t>金额的</w:t>
      </w:r>
      <w:r>
        <w:rPr>
          <w:rFonts w:ascii="Times New Roman" w:eastAsia="仿宋_GB2312"/>
          <w:sz w:val="30"/>
          <w:szCs w:val="30"/>
        </w:rPr>
        <w:t>11.449%</w:t>
      </w:r>
      <w:r>
        <w:rPr>
          <w:rFonts w:ascii="Times New Roman" w:eastAsia="仿宋_GB2312"/>
          <w:sz w:val="30"/>
          <w:szCs w:val="30"/>
        </w:rPr>
        <w:t>；服务采购授予中小企业合同金额占服务支出金额的</w:t>
      </w:r>
      <w:r>
        <w:rPr>
          <w:rFonts w:ascii="Times New Roman" w:eastAsia="仿宋_GB2312"/>
          <w:sz w:val="30"/>
          <w:szCs w:val="30"/>
        </w:rPr>
        <w:t>100.000%</w:t>
      </w:r>
      <w:r>
        <w:rPr>
          <w:rFonts w:ascii="Times New Roman" w:eastAsia="仿宋_GB2312"/>
          <w:sz w:val="30"/>
          <w:szCs w:val="30"/>
        </w:rPr>
        <w:t>。</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日，天津市东丽区人民政府万新街道办事处（本级）共有车辆</w:t>
      </w:r>
      <w:r>
        <w:rPr>
          <w:rFonts w:ascii="Times New Roman" w:eastAsia="仿宋_GB2312"/>
          <w:sz w:val="30"/>
          <w:szCs w:val="30"/>
        </w:rPr>
        <w:t>34</w:t>
      </w:r>
      <w:r>
        <w:rPr>
          <w:rFonts w:ascii="Times New Roman" w:eastAsia="仿宋_GB2312"/>
          <w:sz w:val="30"/>
          <w:szCs w:val="30"/>
        </w:rPr>
        <w:t>辆，其中：其他用车</w:t>
      </w:r>
      <w:r>
        <w:rPr>
          <w:rFonts w:ascii="Times New Roman" w:eastAsia="仿宋_GB2312"/>
          <w:sz w:val="30"/>
          <w:szCs w:val="30"/>
        </w:rPr>
        <w:t>34</w:t>
      </w:r>
      <w:r>
        <w:rPr>
          <w:rFonts w:ascii="Times New Roman" w:eastAsia="仿宋_GB2312"/>
          <w:sz w:val="30"/>
          <w:szCs w:val="30"/>
        </w:rPr>
        <w:t>辆，其他用车主要包括电动垃圾三轮车。单价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16738F" w:rsidRDefault="00F04FD8" w:rsidP="00EE2E24">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根据预算绩效管理要求，天津市东丽区人民政府万新街道办事处（本级）已对</w:t>
      </w:r>
      <w:r>
        <w:rPr>
          <w:rFonts w:ascii="Times New Roman" w:eastAsia="仿宋_GB2312"/>
          <w:sz w:val="30"/>
          <w:szCs w:val="30"/>
        </w:rPr>
        <w:t>20</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27457264.02</w:t>
      </w:r>
      <w:r>
        <w:rPr>
          <w:rFonts w:ascii="Times New Roman" w:eastAsia="仿宋_GB2312"/>
          <w:sz w:val="30"/>
          <w:szCs w:val="30"/>
        </w:rPr>
        <w:t>元，自评结果已随部门决算一并公开。</w:t>
      </w:r>
    </w:p>
    <w:p w:rsidR="0016738F" w:rsidRDefault="00F04FD8" w:rsidP="00EE2E24">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十四、教育、医疗卫生、</w:t>
      </w:r>
      <w:r>
        <w:rPr>
          <w:rFonts w:ascii="宋体" w:eastAsia="黑体"/>
          <w:b/>
          <w:sz w:val="30"/>
          <w:szCs w:val="30"/>
        </w:rPr>
        <w:t>社会保障和就业、住房保障、涉农补贴等民生支出情况说明</w:t>
      </w:r>
    </w:p>
    <w:p w:rsidR="0016738F" w:rsidRDefault="00F04FD8" w:rsidP="00EE2E24">
      <w:pPr>
        <w:widowControl/>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年度，天津市东丽区人民政府万新街道办事处（本级）教育、医疗卫生、社会保障和就业、住房保障、涉农补贴等民生支出情况如下：</w:t>
      </w:r>
      <w:r>
        <w:rPr>
          <w:rFonts w:ascii="Times New Roman" w:eastAsia="仿宋_GB2312"/>
          <w:sz w:val="30"/>
          <w:szCs w:val="30"/>
        </w:rPr>
        <w:t>“</w:t>
      </w:r>
      <w:r>
        <w:rPr>
          <w:rFonts w:ascii="Times New Roman" w:eastAsia="仿宋_GB2312"/>
          <w:sz w:val="30"/>
          <w:szCs w:val="30"/>
        </w:rPr>
        <w:t>社会保障和就业支出（类）</w:t>
      </w:r>
      <w:r>
        <w:rPr>
          <w:rFonts w:ascii="Times New Roman" w:eastAsia="仿宋_GB2312"/>
          <w:sz w:val="30"/>
          <w:szCs w:val="30"/>
        </w:rPr>
        <w:t>”“</w:t>
      </w:r>
      <w:r>
        <w:rPr>
          <w:rFonts w:ascii="Times New Roman" w:eastAsia="仿宋_GB2312"/>
          <w:sz w:val="30"/>
          <w:szCs w:val="30"/>
        </w:rPr>
        <w:t>临时救助（款）</w:t>
      </w:r>
      <w:r>
        <w:rPr>
          <w:rFonts w:ascii="Times New Roman" w:eastAsia="仿宋_GB2312"/>
          <w:sz w:val="30"/>
          <w:szCs w:val="30"/>
        </w:rPr>
        <w:t>”</w:t>
      </w:r>
      <w:r>
        <w:rPr>
          <w:rFonts w:ascii="Times New Roman" w:eastAsia="仿宋_GB2312"/>
          <w:sz w:val="30"/>
          <w:szCs w:val="30"/>
        </w:rPr>
        <w:t>469530</w:t>
      </w:r>
      <w:r>
        <w:rPr>
          <w:rFonts w:ascii="Times New Roman" w:eastAsia="仿宋_GB2312"/>
          <w:sz w:val="30"/>
          <w:szCs w:val="30"/>
        </w:rPr>
        <w:t>元，包括：</w:t>
      </w:r>
      <w:r>
        <w:rPr>
          <w:rFonts w:ascii="Times New Roman" w:eastAsia="仿宋_GB2312"/>
          <w:sz w:val="30"/>
          <w:szCs w:val="30"/>
        </w:rPr>
        <w:t>“</w:t>
      </w:r>
      <w:r>
        <w:rPr>
          <w:rFonts w:ascii="Times New Roman" w:eastAsia="仿宋_GB2312"/>
          <w:sz w:val="30"/>
          <w:szCs w:val="30"/>
        </w:rPr>
        <w:t>临时救助支出（项）</w:t>
      </w:r>
      <w:r>
        <w:rPr>
          <w:rFonts w:ascii="Times New Roman" w:eastAsia="仿宋_GB2312"/>
          <w:sz w:val="30"/>
          <w:szCs w:val="30"/>
        </w:rPr>
        <w:t>”</w:t>
      </w:r>
      <w:r>
        <w:rPr>
          <w:rFonts w:ascii="Times New Roman" w:eastAsia="仿宋_GB2312"/>
          <w:sz w:val="30"/>
          <w:szCs w:val="30"/>
        </w:rPr>
        <w:t>469530</w:t>
      </w:r>
      <w:r>
        <w:rPr>
          <w:rFonts w:ascii="Times New Roman" w:eastAsia="仿宋_GB2312"/>
          <w:sz w:val="30"/>
          <w:szCs w:val="30"/>
        </w:rPr>
        <w:t>元，主要用于困难群众临时救助。</w:t>
      </w:r>
      <w:r>
        <w:rPr>
          <w:rFonts w:ascii="Times New Roman" w:eastAsia="仿宋_GB2312"/>
          <w:sz w:val="30"/>
          <w:szCs w:val="30"/>
        </w:rPr>
        <w:t>“</w:t>
      </w:r>
      <w:r>
        <w:rPr>
          <w:rFonts w:ascii="Times New Roman" w:eastAsia="仿宋_GB2312"/>
          <w:sz w:val="30"/>
          <w:szCs w:val="30"/>
        </w:rPr>
        <w:t>住房保障支出（类）</w:t>
      </w:r>
      <w:r>
        <w:rPr>
          <w:rFonts w:ascii="Times New Roman" w:eastAsia="仿宋_GB2312"/>
          <w:sz w:val="30"/>
          <w:szCs w:val="30"/>
        </w:rPr>
        <w:t>”“</w:t>
      </w:r>
      <w:r>
        <w:rPr>
          <w:rFonts w:ascii="Times New Roman" w:eastAsia="仿宋_GB2312"/>
          <w:sz w:val="30"/>
          <w:szCs w:val="30"/>
        </w:rPr>
        <w:t>保障性安居工程支出（款）</w:t>
      </w:r>
      <w:r>
        <w:rPr>
          <w:rFonts w:ascii="Times New Roman" w:eastAsia="仿宋_GB2312"/>
          <w:sz w:val="30"/>
          <w:szCs w:val="30"/>
        </w:rPr>
        <w:t>”</w:t>
      </w:r>
      <w:r>
        <w:rPr>
          <w:rFonts w:ascii="Times New Roman" w:eastAsia="仿宋_GB2312"/>
          <w:sz w:val="30"/>
          <w:szCs w:val="30"/>
        </w:rPr>
        <w:t>4994137.62</w:t>
      </w:r>
      <w:r>
        <w:rPr>
          <w:rFonts w:ascii="Times New Roman" w:eastAsia="仿宋_GB2312"/>
          <w:sz w:val="30"/>
          <w:szCs w:val="30"/>
        </w:rPr>
        <w:t>元，包括：</w:t>
      </w:r>
      <w:r>
        <w:rPr>
          <w:rFonts w:ascii="Times New Roman" w:eastAsia="仿宋_GB2312"/>
          <w:sz w:val="30"/>
          <w:szCs w:val="30"/>
        </w:rPr>
        <w:t>“</w:t>
      </w:r>
      <w:r>
        <w:rPr>
          <w:rFonts w:ascii="Times New Roman" w:eastAsia="仿宋_GB2312"/>
          <w:sz w:val="30"/>
          <w:szCs w:val="30"/>
        </w:rPr>
        <w:t>老旧小区改造（项）</w:t>
      </w:r>
      <w:r>
        <w:rPr>
          <w:rFonts w:ascii="Times New Roman" w:eastAsia="仿宋_GB2312"/>
          <w:sz w:val="30"/>
          <w:szCs w:val="30"/>
        </w:rPr>
        <w:t>”</w:t>
      </w:r>
      <w:r>
        <w:rPr>
          <w:rFonts w:ascii="Times New Roman" w:eastAsia="仿宋_GB2312"/>
          <w:sz w:val="30"/>
          <w:szCs w:val="30"/>
        </w:rPr>
        <w:t>4994137.62</w:t>
      </w:r>
      <w:r>
        <w:rPr>
          <w:rFonts w:ascii="Times New Roman" w:eastAsia="仿宋_GB2312"/>
          <w:sz w:val="30"/>
          <w:szCs w:val="30"/>
        </w:rPr>
        <w:t>元，主要用于老旧小区改造。</w:t>
      </w:r>
    </w:p>
    <w:p w:rsidR="0016738F" w:rsidRDefault="00F04FD8">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16738F" w:rsidRDefault="00F04FD8" w:rsidP="00EE2E24">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w:t>
      </w:r>
      <w:r>
        <w:rPr>
          <w:rFonts w:ascii="Times New Roman" w:eastAsia="仿宋_GB2312"/>
          <w:sz w:val="30"/>
          <w:szCs w:val="30"/>
        </w:rPr>
        <w:t>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16738F" w:rsidRDefault="0016738F">
      <w:pPr>
        <w:rPr>
          <w:rFonts w:asciiTheme="minorEastAsia" w:hAnsiTheme="minorEastAsia" w:cstheme="minorEastAsia"/>
          <w:color w:val="333333"/>
          <w:sz w:val="22"/>
          <w:szCs w:val="22"/>
          <w:shd w:val="clear" w:color="auto" w:fill="FFFFFF"/>
        </w:rPr>
      </w:pPr>
    </w:p>
    <w:sectPr w:rsidR="0016738F">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FD8" w:rsidRDefault="00F04FD8">
      <w:r>
        <w:separator/>
      </w:r>
    </w:p>
  </w:endnote>
  <w:endnote w:type="continuationSeparator" w:id="0">
    <w:p w:rsidR="00F04FD8" w:rsidRDefault="00F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2AAE64E-BBB0-4290-BB03-185B9F7AAC98}"/>
    <w:embedBold r:id="rId2" w:subsetted="1" w:fontKey="{9CCEA864-4162-4316-A4ED-55B15D015F89}"/>
  </w:font>
  <w:font w:name="仿宋">
    <w:panose1 w:val="02010609060101010101"/>
    <w:charset w:val="86"/>
    <w:family w:val="modern"/>
    <w:pitch w:val="fixed"/>
    <w:sig w:usb0="800002BF" w:usb1="38CF7CFA" w:usb2="00000016" w:usb3="00000000" w:csb0="00040001" w:csb1="00000000"/>
    <w:embedBold r:id="rId3" w:subsetted="1" w:fontKey="{8EAAEA2C-A87A-4C60-ACCE-DE273A70A213}"/>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embedRegular r:id="rId4" w:subsetted="1" w:fontKey="{8CEF68E2-1A0D-421F-B198-60262ADE01AD}"/>
    <w:embedBold r:id="rId5" w:subsetted="1" w:fontKey="{6E7120FE-4E35-47E7-A3C4-175D44C872AA}"/>
  </w:font>
  <w:font w:name="仿宋_GB2312">
    <w:panose1 w:val="02010609030101010101"/>
    <w:charset w:val="86"/>
    <w:family w:val="modern"/>
    <w:pitch w:val="fixed"/>
    <w:sig w:usb0="00000001" w:usb1="080E0000" w:usb2="00000010" w:usb3="00000000" w:csb0="00040000" w:csb1="00000000"/>
    <w:embedRegular r:id="rId6" w:subsetted="1" w:fontKey="{AD59B513-3BB9-4B14-995A-2EBA9C0B080C}"/>
  </w:font>
  <w:font w:name="宋体-简">
    <w:altName w:val="宋体"/>
    <w:charset w:val="86"/>
    <w:family w:val="auto"/>
    <w:pitch w:val="default"/>
    <w:sig w:usb0="00000000" w:usb1="00000000" w:usb2="00000000" w:usb3="00000000" w:csb0="00040000" w:csb1="00000000"/>
    <w:embedRegular r:id="rId7" w:fontKey="{8487B520-CF2D-44DA-B2F3-DAAFF6BDB04D}"/>
  </w:font>
  <w:font w:name="楷体">
    <w:panose1 w:val="02010609060101010101"/>
    <w:charset w:val="86"/>
    <w:family w:val="modern"/>
    <w:pitch w:val="fixed"/>
    <w:sig w:usb0="800002BF" w:usb1="38CF7CFA" w:usb2="00000016" w:usb3="00000000" w:csb0="00040001" w:csb1="00000000"/>
    <w:embedBold r:id="rId8" w:subsetted="1" w:fontKey="{C150E3BE-274E-42A0-8D8B-AB9A1CB20E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8F" w:rsidRDefault="0016738F">
    <w:pPr>
      <w:pStyle w:val="a5"/>
      <w:jc w:val="center"/>
    </w:pPr>
  </w:p>
  <w:p w:rsidR="0016738F" w:rsidRDefault="001673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8F" w:rsidRDefault="00F04FD8">
    <w:pPr>
      <w:jc w:val="center"/>
    </w:pPr>
    <w:r>
      <w:fldChar w:fldCharType="begin"/>
    </w:r>
    <w:r>
      <w:instrText>PAGE</w:instrText>
    </w:r>
    <w:r>
      <w:fldChar w:fldCharType="separate"/>
    </w:r>
    <w:r w:rsidR="00EE2E24">
      <w:rPr>
        <w:noProof/>
      </w:rPr>
      <w:t>1</w:t>
    </w:r>
    <w:r>
      <w:fldChar w:fldCharType="end"/>
    </w:r>
  </w:p>
  <w:p w:rsidR="00000000" w:rsidRDefault="00F04FD8"/>
  <w:p w:rsidR="0016738F" w:rsidRDefault="001673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8F" w:rsidRDefault="00F04FD8">
    <w:pPr>
      <w:jc w:val="center"/>
    </w:pPr>
    <w:r>
      <w:fldChar w:fldCharType="begin"/>
    </w:r>
    <w:r>
      <w:instrText>PAGE</w:instrText>
    </w:r>
    <w:r>
      <w:fldChar w:fldCharType="separate"/>
    </w:r>
    <w:r w:rsidR="00EE2E24">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FD8" w:rsidRDefault="00F04FD8">
      <w:r>
        <w:separator/>
      </w:r>
    </w:p>
  </w:footnote>
  <w:footnote w:type="continuationSeparator" w:id="0">
    <w:p w:rsidR="00F04FD8" w:rsidRDefault="00F04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8F" w:rsidRDefault="0016738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42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16738F"/>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16738F"/>
    <w:rsid w:val="00236F8C"/>
    <w:rsid w:val="00822154"/>
    <w:rsid w:val="00C65689"/>
    <w:rsid w:val="00CC2C8E"/>
    <w:rsid w:val="00EE2E24"/>
    <w:rsid w:val="00F04FD8"/>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rFonts w:cstheme="minorBidi"/>
      <w:kern w:val="2"/>
      <w:sz w:val="18"/>
      <w:szCs w:val="18"/>
    </w:rPr>
  </w:style>
  <w:style w:type="paragraph" w:styleId="a5">
    <w:name w:val="footer"/>
    <w:basedOn w:val="a"/>
    <w:link w:val="Char0"/>
    <w:uiPriority w:val="99"/>
    <w:qFormat/>
    <w:pPr>
      <w:tabs>
        <w:tab w:val="center" w:pos="4153"/>
        <w:tab w:val="right" w:pos="8306"/>
      </w:tabs>
      <w:snapToGrid w:val="0"/>
      <w:jc w:val="left"/>
    </w:pPr>
    <w:rPr>
      <w:rFonts w:cstheme="minorBidi"/>
      <w:kern w:val="2"/>
      <w:sz w:val="18"/>
      <w:szCs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pPr>
      <w:spacing w:beforeAutospacing="1" w:afterAutospacing="1"/>
      <w:jc w:val="left"/>
    </w:pPr>
    <w:rPr>
      <w:rFonts w:cs="Times New Roman"/>
    </w:rPr>
  </w:style>
  <w:style w:type="table" w:styleId="a8">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2Char">
    <w:name w:val="标题 2 Char"/>
    <w:link w:val="2"/>
    <w:qFormat/>
    <w:rPr>
      <w:rFonts w:ascii="Calibri Light" w:eastAsia="宋体" w:hAnsi="Calibri Light" w:cs="Times New Roman"/>
      <w:b/>
      <w:bCs/>
      <w:sz w:val="28"/>
      <w:szCs w:val="32"/>
    </w:rPr>
  </w:style>
  <w:style w:type="character" w:customStyle="1" w:styleId="Char0">
    <w:name w:val="页脚 Char"/>
    <w:basedOn w:val="a0"/>
    <w:link w:val="a5"/>
    <w:uiPriority w:val="99"/>
    <w:qFormat/>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Pr>
      <w:rFonts w:asciiTheme="minorHAnsi" w:eastAsiaTheme="minorEastAsia" w:hAnsiTheme="minorHAnsi" w:cstheme="minorBidi"/>
      <w:sz w:val="18"/>
      <w:szCs w:val="18"/>
      <w:lang w:val="en-US" w:eastAsia="zh-CN" w:bidi="ar-SA"/>
    </w:rPr>
  </w:style>
  <w:style w:type="character" w:customStyle="1" w:styleId="font71">
    <w:name w:val="font71"/>
    <w:basedOn w:val="a0"/>
    <w:qFormat/>
    <w:rPr>
      <w:rFonts w:ascii="Arial" w:hAnsi="Arial" w:cs="Arial"/>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pPr>
      <w:jc w:val="left"/>
    </w:pPr>
    <w:rPr>
      <w:rFonts w:ascii="Helvetica" w:eastAsia="Helvetica" w:hAnsi="Helvetica" w:cs="Times New Roman"/>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rFonts w:cstheme="minorBidi"/>
      <w:kern w:val="2"/>
      <w:sz w:val="18"/>
      <w:szCs w:val="18"/>
    </w:rPr>
  </w:style>
  <w:style w:type="paragraph" w:styleId="a5">
    <w:name w:val="footer"/>
    <w:basedOn w:val="a"/>
    <w:link w:val="Char0"/>
    <w:uiPriority w:val="99"/>
    <w:qFormat/>
    <w:pPr>
      <w:tabs>
        <w:tab w:val="center" w:pos="4153"/>
        <w:tab w:val="right" w:pos="8306"/>
      </w:tabs>
      <w:snapToGrid w:val="0"/>
      <w:jc w:val="left"/>
    </w:pPr>
    <w:rPr>
      <w:rFonts w:cstheme="minorBidi"/>
      <w:kern w:val="2"/>
      <w:sz w:val="18"/>
      <w:szCs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pPr>
      <w:spacing w:beforeAutospacing="1" w:afterAutospacing="1"/>
      <w:jc w:val="left"/>
    </w:pPr>
    <w:rPr>
      <w:rFonts w:cs="Times New Roman"/>
    </w:rPr>
  </w:style>
  <w:style w:type="table" w:styleId="a8">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2Char">
    <w:name w:val="标题 2 Char"/>
    <w:link w:val="2"/>
    <w:qFormat/>
    <w:rPr>
      <w:rFonts w:ascii="Calibri Light" w:eastAsia="宋体" w:hAnsi="Calibri Light" w:cs="Times New Roman"/>
      <w:b/>
      <w:bCs/>
      <w:sz w:val="28"/>
      <w:szCs w:val="32"/>
    </w:rPr>
  </w:style>
  <w:style w:type="character" w:customStyle="1" w:styleId="Char0">
    <w:name w:val="页脚 Char"/>
    <w:basedOn w:val="a0"/>
    <w:link w:val="a5"/>
    <w:uiPriority w:val="99"/>
    <w:qFormat/>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Pr>
      <w:rFonts w:asciiTheme="minorHAnsi" w:eastAsiaTheme="minorEastAsia" w:hAnsiTheme="minorHAnsi" w:cstheme="minorBidi"/>
      <w:sz w:val="18"/>
      <w:szCs w:val="18"/>
      <w:lang w:val="en-US" w:eastAsia="zh-CN" w:bidi="ar-SA"/>
    </w:rPr>
  </w:style>
  <w:style w:type="character" w:customStyle="1" w:styleId="font71">
    <w:name w:val="font71"/>
    <w:basedOn w:val="a0"/>
    <w:qFormat/>
    <w:rPr>
      <w:rFonts w:ascii="Arial" w:hAnsi="Arial" w:cs="Arial"/>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pPr>
      <w:jc w:val="left"/>
    </w:pPr>
    <w:rPr>
      <w:rFonts w:ascii="Helvetica" w:eastAsia="Helvetica" w:hAnsi="Helvetica" w:cs="Times New Roman"/>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47</Pages>
  <Words>3143</Words>
  <Characters>17917</Characters>
  <Application>Microsoft Office Word</Application>
  <DocSecurity>0</DocSecurity>
  <Lines>149</Lines>
  <Paragraphs>42</Paragraphs>
  <ScaleCrop>false</ScaleCrop>
  <Company>神州网信技术有限公司</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Gao</cp:lastModifiedBy>
  <cp:revision>16</cp:revision>
  <cp:lastPrinted>2023-08-07T01:00:00Z</cp:lastPrinted>
  <dcterms:created xsi:type="dcterms:W3CDTF">2023-08-07T07:55:00Z</dcterms:created>
  <dcterms:modified xsi:type="dcterms:W3CDTF">2025-09-23T02:26:00Z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