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天津市东丽区无瑕街财务中心</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负责街道财务结算和集体经济组织、新型经济组织财务指导等工作。不再保留劳动保障服务中心、社区综合服务中心(社区居民服务中心、社区文化服务中心)、集体经济管理服务中心、农业服务中心(水利站)、市容环卫管理站、企业服务中心、统计办公室。</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天津市东丽区无瑕街财务中心</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天津市东丽区无瑕街财务中心</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部门（单位）：天津市东丽区无瑕街财务中心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1,360,843.82</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212,937.12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101,811.80</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472,128.00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部门（单位）：天津市东丽区无瑕街财务中心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2,147,720.74</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2,147,720.74</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一般公共服务支出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1,360,843.82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1,360,843.82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财政事务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1,360,843.82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1,360,843.82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2010699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其他财政事务支出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1,360,843.82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1,360,843.82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212,937.12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212,937.12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212,937.12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212,937.12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141,958.08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141,958.08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70,979.04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70,979.04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101,811.80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101,811.80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101,811.80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101,811.80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101,811.80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101,811.80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472,128.00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472,128.00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472,128.00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472,128.00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472,128.00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472,128.00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部门（单位）：天津市东丽区无瑕街财务中心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2,147,720.74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2,147,720.74</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2,147,720.74</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809204</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天津市东丽区无瑕街财务中心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2,147,720.74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2,147,720.74</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2,147,720.74</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部门（单位）：天津市东丽区无瑕街财务中心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1,360,843.82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1,360,843.82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财政事务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1,360,843.82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1,360,843.82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2010699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其他财政事务支出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1,360,843.82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1,360,843.82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212,937.12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212,937.12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212,937.12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212,937.12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141,958.08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141,958.08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70,979.04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70,979.04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101,811.80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101,811.80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101,811.80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101,811.80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101,811.80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101,811.80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472,128.00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472,128.00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472,128.00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472,128.00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472,128.00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472,128.00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部门（单位）：天津市东丽区无瑕街财务中心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1,360,843.82</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1,360,843.82</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212,937.12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212,937.12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101,811.80</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101,811.80</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472,128.00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472,128.00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2,147,720.74</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天津市东丽区无瑕街财务中心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2,147,720.74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2,147,720.74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1,878,734.27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268,986.47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一般公共服务支出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1,360,843.82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1,360,843.82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1,091,857.35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268,986.47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财政事务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1,360,843.82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1,360,843.82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1,091,857.35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268,986.47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2010699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其他财政事务支出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1,360,843.82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1,360,843.82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1,091,857.35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268,986.47</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212,937.12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212,937.12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212,937.12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212,937.12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212,937.12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212,937.12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141,958.08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141,958.08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141,958.08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70,979.04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70,979.04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70,979.04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101,811.80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101,811.80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101,811.80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101,811.80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101,811.80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101,811.80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101,811.80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101,811.80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101,811.80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472,128.00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472,128.00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472,128.00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472,128.00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472,128.00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472,128.00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472,128.00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472,128.00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472,128.00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部门（单位）：天津市东丽区无瑕街财务中心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1,878,694.27</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268,986.47</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410,444.40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49,167.00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193,582.00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481,032.74</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26,240.00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141,958.08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45,904.00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70,979.04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10,496.00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88,723.80</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6,758.21</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1,776.00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472,128.00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13,088.00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1,725.03</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7,120.00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30,558.44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1,878,734.27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268,986.47</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天津市东丽区无瑕街财务中心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天津市东丽区无瑕街财务中心</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天津市东丽区无瑕街财务中心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天津市东丽区无瑕街财务中心</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部门（单位）：天津市东丽区无瑕街财务中心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天津市东丽区无瑕街财务中心</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部门（单位）：天津市东丽区无瑕街财务中心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天津市东丽区无瑕街财务中心</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w:t>
      </w:r>
      <w:r>
        <w:rPr>
          <w:rFonts w:ascii="Times New Roman" w:eastAsia="仿宋_GB2312"/>
          <w:b w:val="false"/>
          <w:sz w:val="30"/>
          <w:szCs w:val="30"/>
        </w:rPr>
        <w:t>2024年度收入、支出决算总计</w:t>
      </w:r>
      <w:r>
        <w:rPr>
          <w:rFonts w:ascii="Times New Roman" w:eastAsia="仿宋_GB2312"/>
          <w:b w:val="false"/>
          <w:sz w:val="30"/>
          <w:szCs w:val="30"/>
        </w:rPr>
        <w:t>2,147,720.74</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955,270.84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30.785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一般公共预算财政拨款收入2,147,720.74元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一般公共服务支出1,360,843.82元、社会保障和就业支出212,937.12元、卫生健康支出101,811.80元、住房保障支出472,128.00元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w:t>
      </w:r>
      <w:r>
        <w:rPr>
          <w:rFonts w:ascii="Times New Roman" w:eastAsia="仿宋_GB2312"/>
          <w:b w:val="false"/>
          <w:sz w:val="30"/>
          <w:szCs w:val="30"/>
        </w:rPr>
        <w:t>2024年度本年收入合计</w:t>
      </w:r>
      <w:r>
        <w:rPr>
          <w:rFonts w:ascii="Times New Roman" w:eastAsia="仿宋_GB2312"/>
          <w:b w:val="false"/>
          <w:sz w:val="30"/>
          <w:szCs w:val="30"/>
        </w:rPr>
        <w:t>2,147,720.74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955,270.84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一般公共预算财政拨款收入2,147,720.74元，占100.000%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w:t>
      </w:r>
      <w:r>
        <w:rPr>
          <w:rFonts w:ascii="Times New Roman" w:eastAsia="仿宋_GB2312"/>
          <w:b w:val="false"/>
          <w:sz w:val="30"/>
          <w:szCs w:val="30"/>
        </w:rPr>
        <w:t>2024年度本年支出合计</w:t>
      </w:r>
      <w:r>
        <w:rPr>
          <w:rFonts w:ascii="Times New Roman" w:eastAsia="仿宋_GB2312"/>
          <w:b w:val="false"/>
          <w:sz w:val="30"/>
          <w:szCs w:val="30"/>
        </w:rPr>
        <w:t>2,147,720.74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955,270.84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基本支出2,147,720.74元，占100.000%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w:t>
      </w:r>
      <w:r>
        <w:rPr>
          <w:rFonts w:ascii="Times New Roman" w:eastAsia="仿宋_GB2312"/>
          <w:b w:val="false"/>
          <w:sz w:val="30"/>
          <w:szCs w:val="30"/>
        </w:rPr>
        <w:t>2024年度财政拨款收入、支出决算总计</w:t>
      </w:r>
      <w:r>
        <w:rPr>
          <w:rFonts w:ascii="Times New Roman" w:eastAsia="仿宋_GB2312"/>
          <w:b w:val="false"/>
          <w:sz w:val="30"/>
          <w:szCs w:val="30"/>
        </w:rPr>
        <w:t>2,147,720.74</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955,270.84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30.785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一般公共预算财政拨款2,147,720.74元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一般公共服务支出1,360,843.82元、社会保障和就业支出212,937.12元、卫生健康支出101,811.80元、住房保障支出472,128.00元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2,147,720.74</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955,270.84</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30.785</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2,147,720.74</w:t>
      </w:r>
      <w:r>
        <w:rPr>
          <w:rFonts w:ascii="Times New Roman" w:eastAsia="仿宋_GB2312"/>
          <w:b w:val="false"/>
          <w:sz w:val="30"/>
          <w:szCs w:val="30"/>
        </w:rPr>
        <w:t>元，主要用于以下方面：</w:t>
      </w:r>
      <w:r>
        <w:rPr>
          <w:rFonts w:ascii="Times New Roman" w:eastAsia="仿宋_GB2312"/>
          <w:b w:val="false"/>
          <w:sz w:val="30"/>
          <w:szCs w:val="30"/>
        </w:rPr>
        <w:t>一般公共服务支出（类）1,360,843.82元，占63.362%；社会保障和就业支出（类）212,937.12元，占9.915%；卫生健康支出（类）101,811.80元，占4.740%；住房保障支出（类）472,128.00元，占21.983%</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3,146,000.00</w:t>
      </w:r>
      <w:r>
        <w:rPr>
          <w:rFonts w:ascii="Times New Roman" w:eastAsia="仿宋_GB2312"/>
          <w:b w:val="false"/>
          <w:sz w:val="30"/>
          <w:szCs w:val="30"/>
        </w:rPr>
        <w:t>元，支出决算为</w:t>
      </w:r>
      <w:r>
        <w:rPr>
          <w:rFonts w:ascii="Times New Roman" w:eastAsia="仿宋_GB2312"/>
          <w:b w:val="false"/>
          <w:sz w:val="30"/>
          <w:szCs w:val="30"/>
        </w:rPr>
        <w:t>2,147,720.74</w:t>
      </w:r>
      <w:r>
        <w:rPr>
          <w:rFonts w:ascii="Times New Roman" w:eastAsia="仿宋_GB2312"/>
          <w:b w:val="false"/>
          <w:sz w:val="30"/>
          <w:szCs w:val="30"/>
        </w:rPr>
        <w:t>元，完成年初预算的</w:t>
      </w:r>
      <w:r>
        <w:rPr>
          <w:rFonts w:ascii="Times New Roman" w:eastAsia="仿宋_GB2312"/>
          <w:b w:val="false"/>
          <w:sz w:val="30"/>
          <w:szCs w:val="30"/>
        </w:rPr>
        <w:t>68.268</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一般公共服务支出</w:t>
      </w:r>
      <w:r>
        <w:rPr>
          <w:rFonts w:ascii="Times New Roman" w:eastAsia="仿宋_GB2312"/>
          <w:b w:val="false"/>
          <w:sz w:val="30"/>
          <w:szCs w:val="30"/>
        </w:rPr>
        <w:t>(类)</w:t>
      </w:r>
      <w:r>
        <w:rPr>
          <w:rFonts w:ascii="Times New Roman" w:eastAsia="仿宋_GB2312"/>
          <w:b w:val="false"/>
          <w:sz w:val="30"/>
          <w:szCs w:val="30"/>
        </w:rPr>
        <w:t>财政事务</w:t>
      </w:r>
      <w:r>
        <w:rPr>
          <w:rFonts w:ascii="Times New Roman" w:eastAsia="仿宋_GB2312"/>
          <w:b w:val="false"/>
          <w:sz w:val="30"/>
          <w:szCs w:val="30"/>
        </w:rPr>
        <w:t>(款)</w:t>
      </w:r>
      <w:r>
        <w:rPr>
          <w:rFonts w:ascii="Times New Roman" w:eastAsia="仿宋_GB2312"/>
          <w:b w:val="false"/>
          <w:sz w:val="30"/>
          <w:szCs w:val="30"/>
        </w:rPr>
        <w:t>其他财政事务支出</w:t>
      </w:r>
      <w:r>
        <w:rPr>
          <w:rFonts w:ascii="Times New Roman" w:eastAsia="仿宋_GB2312"/>
          <w:b w:val="false"/>
          <w:sz w:val="30"/>
          <w:szCs w:val="30"/>
        </w:rPr>
        <w:t>(项)年初预算为</w:t>
      </w:r>
      <w:r>
        <w:rPr>
          <w:rFonts w:ascii="Times New Roman" w:eastAsia="仿宋_GB2312"/>
          <w:b w:val="false"/>
          <w:sz w:val="30"/>
          <w:szCs w:val="30"/>
        </w:rPr>
        <w:t>1,953,900.00</w:t>
      </w:r>
      <w:r>
        <w:rPr>
          <w:rFonts w:ascii="Times New Roman" w:eastAsia="仿宋_GB2312"/>
          <w:b w:val="false"/>
          <w:sz w:val="30"/>
          <w:szCs w:val="30"/>
        </w:rPr>
        <w:t>元，支出决算为</w:t>
      </w:r>
      <w:r>
        <w:rPr>
          <w:rFonts w:ascii="Times New Roman" w:eastAsia="仿宋_GB2312"/>
          <w:b w:val="false"/>
          <w:sz w:val="30"/>
          <w:szCs w:val="30"/>
        </w:rPr>
        <w:t>1,360,843.82</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69.648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216,500.00</w:t>
      </w:r>
      <w:r>
        <w:rPr>
          <w:rFonts w:ascii="Times New Roman" w:eastAsia="仿宋_GB2312"/>
          <w:b w:val="false"/>
          <w:sz w:val="30"/>
          <w:szCs w:val="30"/>
        </w:rPr>
        <w:t>元，支出决算为</w:t>
      </w:r>
      <w:r>
        <w:rPr>
          <w:rFonts w:ascii="Times New Roman" w:eastAsia="仿宋_GB2312"/>
          <w:b w:val="false"/>
          <w:sz w:val="30"/>
          <w:szCs w:val="30"/>
        </w:rPr>
        <w:t>141,958.08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65.570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108,200.00</w:t>
      </w:r>
      <w:r>
        <w:rPr>
          <w:rFonts w:ascii="Times New Roman" w:eastAsia="仿宋_GB2312"/>
          <w:b w:val="false"/>
          <w:sz w:val="30"/>
          <w:szCs w:val="30"/>
        </w:rPr>
        <w:t>元，支出决算为</w:t>
      </w:r>
      <w:r>
        <w:rPr>
          <w:rFonts w:ascii="Times New Roman" w:eastAsia="仿宋_GB2312"/>
          <w:b w:val="false"/>
          <w:sz w:val="30"/>
          <w:szCs w:val="30"/>
        </w:rPr>
        <w:t>70,979.04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65.600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149,000.00</w:t>
      </w:r>
      <w:r>
        <w:rPr>
          <w:rFonts w:ascii="Times New Roman" w:eastAsia="仿宋_GB2312"/>
          <w:b w:val="false"/>
          <w:sz w:val="30"/>
          <w:szCs w:val="30"/>
        </w:rPr>
        <w:t>元，支出决算为</w:t>
      </w:r>
      <w:r>
        <w:rPr>
          <w:rFonts w:ascii="Times New Roman" w:eastAsia="仿宋_GB2312"/>
          <w:b w:val="false"/>
          <w:sz w:val="30"/>
          <w:szCs w:val="30"/>
        </w:rPr>
        <w:t>101,811.80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68.330</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5. </w:t>
      </w:r>
      <w:r>
        <w:rPr>
          <w:rFonts w:ascii="Times New Roman" w:eastAsia="仿宋_GB2312"/>
          <w:b w:val="false"/>
          <w:sz w:val="30"/>
          <w:szCs w:val="30"/>
        </w:rPr>
        <w:t>​</w:t>
      </w:r>
      <w:r>
        <w:rPr>
          <w:rFonts w:ascii="Times New Roman" w:eastAsia="仿宋_GB2312"/>
          <w:b w:val="false"/>
          <w:sz w:val="30"/>
          <w:szCs w:val="30"/>
        </w:rPr>
        <w:t>住房保障支出</w:t>
      </w:r>
      <w:r>
        <w:rPr>
          <w:rFonts w:ascii="Times New Roman" w:eastAsia="仿宋_GB2312"/>
          <w:b w:val="false"/>
          <w:sz w:val="30"/>
          <w:szCs w:val="30"/>
        </w:rPr>
        <w:t>(类)</w:t>
      </w:r>
      <w:r>
        <w:rPr>
          <w:rFonts w:ascii="Times New Roman" w:eastAsia="仿宋_GB2312"/>
          <w:b w:val="false"/>
          <w:sz w:val="30"/>
          <w:szCs w:val="30"/>
        </w:rPr>
        <w:t>住房改革支出</w:t>
      </w:r>
      <w:r>
        <w:rPr>
          <w:rFonts w:ascii="Times New Roman" w:eastAsia="仿宋_GB2312"/>
          <w:b w:val="false"/>
          <w:sz w:val="30"/>
          <w:szCs w:val="30"/>
        </w:rPr>
        <w:t>(款)</w:t>
      </w:r>
      <w:r>
        <w:rPr>
          <w:rFonts w:ascii="Times New Roman" w:eastAsia="仿宋_GB2312"/>
          <w:b w:val="false"/>
          <w:sz w:val="30"/>
          <w:szCs w:val="30"/>
        </w:rPr>
        <w:t>住房公积金</w:t>
      </w:r>
      <w:r>
        <w:rPr>
          <w:rFonts w:ascii="Times New Roman" w:eastAsia="仿宋_GB2312"/>
          <w:b w:val="false"/>
          <w:sz w:val="30"/>
          <w:szCs w:val="30"/>
        </w:rPr>
        <w:t>(项)年初预算为</w:t>
      </w:r>
      <w:r>
        <w:rPr>
          <w:rFonts w:ascii="Times New Roman" w:eastAsia="仿宋_GB2312"/>
          <w:b w:val="false"/>
          <w:sz w:val="30"/>
          <w:szCs w:val="30"/>
        </w:rPr>
        <w:t>718,400.00</w:t>
      </w:r>
      <w:r>
        <w:rPr>
          <w:rFonts w:ascii="Times New Roman" w:eastAsia="仿宋_GB2312"/>
          <w:b w:val="false"/>
          <w:sz w:val="30"/>
          <w:szCs w:val="30"/>
        </w:rPr>
        <w:t>元，支出决算为</w:t>
      </w:r>
      <w:r>
        <w:rPr>
          <w:rFonts w:ascii="Times New Roman" w:eastAsia="仿宋_GB2312"/>
          <w:b w:val="false"/>
          <w:sz w:val="30"/>
          <w:szCs w:val="30"/>
        </w:rPr>
        <w:t>472,128.00</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65.719</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2,147,720.74</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955,270.84</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本部门于2024年9月份拟注销，不再进行核算</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1,878,734.27</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基本工资、津贴补贴、绩效工资、机关事业单位基本养老保险缴费、职业年金缴费、职工基本医疗保险缴费、其他社会保障缴费、住房公积金、医疗费和奖励金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268,986.47</w:t>
      </w:r>
      <w:r>
        <w:rPr>
          <w:rFonts w:ascii="Times New Roman" w:eastAsia="仿宋_GB2312"/>
          <w:b w:val="false"/>
          <w:sz w:val="30"/>
          <w:szCs w:val="30"/>
        </w:rPr>
        <w:t>元，主要包括</w:t>
      </w:r>
      <w:r>
        <w:rPr>
          <w:rFonts w:ascii="Times New Roman" w:eastAsia="仿宋_GB2312"/>
          <w:b w:val="false"/>
          <w:sz w:val="30"/>
          <w:szCs w:val="30"/>
        </w:rPr>
        <w:t>办公费、水费、电费、邮电费、差旅费、培训费、委托业务费、工会经费、福利费和其他商品和服务支出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本年度未用财政拨款列支公务用运行维护费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天津市东丽区无瑕街财务中心2024年度不涉及公开教育、医疗卫生、社会保障和就业、住房保障、涉农补贴等民生支出情况。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