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天津市东丽区无瑕街经济发展中心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主要职责是,协助落实街道经济发展规划、优化辖区营商环境,负责贯彻落实企业发展的有关政策服务辖区企业经济发展工作;负责落实“双万双服促发展”工作安排,摸排企业需求,开展政策宣传,促进银企对接等工作协助实施人才支持政策、资金支持政策,服务企业科技进步技术改造,调整产业、产品和布局结构;负责农业病虫害防治农业技术服务和推广工作;负责农田水利设施建设管理;配合做好林业相关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天津市东丽区无瑕街经济发展中心</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天津市东丽区无瑕街经济发展中心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天津市东丽区无瑕街经济发展中心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部门（单位）：天津市东丽区无瑕街经济发展中心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2,256,936.24</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1,418,391.86</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223,177.68</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106,078.70</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509,288.00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2,256,936.24</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2,256,936.24</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2,256,936.24</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2,256,936.24</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部门（单位）：天津市东丽区无瑕街经济发展中心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2,256,936.24</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2,256,936.24</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1,418,391.86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1,418,391.86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20113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商贸事务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1,418,391.86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1,418,391.86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2011399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其他商贸事务支出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1,418,391.86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1,418,391.86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223,177.68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223,177.68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223,177.68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223,177.68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148,785.12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148,785.12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74,392.56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74,392.56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106,078.70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106,078.70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106,078.70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106,078.70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106,078.70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106,078.70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509,288.00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509,288.00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509,288.00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509,288.00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509,288.00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509,288.00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部门（单位）：天津市东丽区无瑕街经济发展中心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2,256,936.24</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2,256,936.24</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2,256,936.24</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809203</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天津市东丽区无瑕街经济发展中心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2,256,936.24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2,256,936.24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2,256,936.24</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部门（单位）：天津市东丽区无瑕街经济发展中心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2,256,936.24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2,256,936.24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1,418,391.86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1,418,391.86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20113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商贸事务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1,418,391.86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1,418,391.86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2011399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其他商贸事务支出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1,418,391.86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1,418,391.86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223,177.68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223,177.68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223,177.68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223,177.68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148,785.12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148,785.12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74,392.56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74,392.56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106,078.70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106,078.70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106,078.70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106,078.70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106,078.70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106,078.70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509,288.00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509,288.00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509,288.00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509,288.00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509,288.00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509,288.00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部门（单位）：天津市东丽区无瑕街经济发展中心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2,256,936.24</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1,418,391.86</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1,418,391.86</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223,177.68</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223,177.68</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106,078.70</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106,078.70</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509,288.00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509,288.00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2,256,936.24</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2,256,936.24</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2,256,936.24</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2,256,936.24</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2,256,936.24</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2,256,936.24</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天津市东丽区无瑕街经济发展中心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2,256,936.24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2,256,936.24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1,983,421.69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273,514.55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1,418,391.86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1,418,391.86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1,144,877.31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273,514.55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20113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商贸事务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1,418,391.86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1,418,391.86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1,144,877.31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273,514.55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2011399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其他商贸事务支出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1,418,391.86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1,418,391.86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1,144,877.31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273,514.55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223,177.68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223,177.68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223,177.68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223,177.68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223,177.68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223,177.68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148,785.12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148,785.12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148,785.12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74,392.56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74,392.56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74,392.56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106,078.70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106,078.70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106,078.70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106,078.70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106,078.70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106,078.70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106,078.70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106,078.70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106,078.70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509,288.00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509,288.00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509,288.00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509,288.00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509,288.00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509,288.00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509,288.00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509,288.00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509,288.00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部门（单位）：天津市东丽区无瑕街经济发展中心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1,983,381.69</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273,514.55</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454,094.00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52,464.00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198,336.00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485,322.12</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26,240.00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148,785.12</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45,904.00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74,392.56</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10,496.00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92,990.70</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7,085.19</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1,664.00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509,288.00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13,088.00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40.00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1,779.37</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7,232.00</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31,735.18</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16,000.00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1,983,421.69</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273,514.55</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天津市东丽区无瑕街经济发展中心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天津市东丽区无瑕街经济发展中心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天津市东丽区无瑕街经济发展中心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天津市东丽区无瑕街经济发展中心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部门（单位）：天津市东丽区无瑕街经济发展中心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天津市东丽区无瑕街经济发展中心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部门（单位）：天津市东丽区无瑕街经济发展中心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天津市东丽区无瑕街经济发展中心</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天津市东丽区无瑕街经济发展中心</w:t>
      </w:r>
      <w:r>
        <w:rPr>
          <w:rFonts w:ascii="Times New Roman" w:eastAsia="仿宋_GB2312"/>
          <w:b w:val="false"/>
          <w:sz w:val="30"/>
          <w:szCs w:val="30"/>
        </w:rPr>
        <w:t>2024年度收入、支出决算总计</w:t>
      </w:r>
      <w:r>
        <w:rPr>
          <w:rFonts w:ascii="Times New Roman" w:eastAsia="仿宋_GB2312"/>
          <w:b w:val="false"/>
          <w:sz w:val="30"/>
          <w:szCs w:val="30"/>
        </w:rPr>
        <w:t>2,256,936.24</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1,032,627.65</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31.391</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本部门于2024年9月份拟注销，不再进行核算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一般公共预算财政拨款收入2,256,936.24元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一般公共服务支出1,418,391.86元、社会保障和就业支出223,177.68元、卫生健康支出106,078.70元、住房保障支出509,288.00元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天津市东丽区无瑕街经济发展中心</w:t>
      </w:r>
      <w:r>
        <w:rPr>
          <w:rFonts w:ascii="Times New Roman" w:eastAsia="仿宋_GB2312"/>
          <w:b w:val="false"/>
          <w:sz w:val="30"/>
          <w:szCs w:val="30"/>
        </w:rPr>
        <w:t>2024年度本年收入合计</w:t>
      </w:r>
      <w:r>
        <w:rPr>
          <w:rFonts w:ascii="Times New Roman" w:eastAsia="仿宋_GB2312"/>
          <w:b w:val="false"/>
          <w:sz w:val="30"/>
          <w:szCs w:val="30"/>
        </w:rPr>
        <w:t>2,256,936.24</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1,032,627.65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本部门于2024年9月份拟注销，不再进行核算</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一般公共预算财政拨款收入2,256,936.24元，占100.000%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天津市东丽区无瑕街经济发展中心</w:t>
      </w:r>
      <w:r>
        <w:rPr>
          <w:rFonts w:ascii="Times New Roman" w:eastAsia="仿宋_GB2312"/>
          <w:b w:val="false"/>
          <w:sz w:val="30"/>
          <w:szCs w:val="30"/>
        </w:rPr>
        <w:t>2024年度本年支出合计</w:t>
      </w:r>
      <w:r>
        <w:rPr>
          <w:rFonts w:ascii="Times New Roman" w:eastAsia="仿宋_GB2312"/>
          <w:b w:val="false"/>
          <w:sz w:val="30"/>
          <w:szCs w:val="30"/>
        </w:rPr>
        <w:t>2,256,936.24</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1,032,627.65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本部门于2024年9月份拟注销，不再进行核算</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基本支出2,256,936.24元，占100.000%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天津市东丽区无瑕街经济发展中心</w:t>
      </w:r>
      <w:r>
        <w:rPr>
          <w:rFonts w:ascii="Times New Roman" w:eastAsia="仿宋_GB2312"/>
          <w:b w:val="false"/>
          <w:sz w:val="30"/>
          <w:szCs w:val="30"/>
        </w:rPr>
        <w:t>2024年度财政拨款收入、支出决算总计</w:t>
      </w:r>
      <w:r>
        <w:rPr>
          <w:rFonts w:ascii="Times New Roman" w:eastAsia="仿宋_GB2312"/>
          <w:b w:val="false"/>
          <w:sz w:val="30"/>
          <w:szCs w:val="30"/>
        </w:rPr>
        <w:t>2,256,936.24</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1,032,627.65</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31.391</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本部门于2024年9月份拟注销，不再进行核算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一般公共预算财政拨款2,256,936.24元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一般公共服务支出1,418,391.86元、社会保障和就业支出223,177.68元、卫生健康支出106,078.70元、住房保障支出509,288.00元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天津市东丽区无瑕街经济发展中心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2,256,936.24</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1,032,627.65</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31.391</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本部门于2024年9月份拟注销，不再进行核算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2,256,936.24</w:t>
      </w:r>
      <w:r>
        <w:rPr>
          <w:rFonts w:ascii="Times New Roman" w:eastAsia="仿宋_GB2312"/>
          <w:b w:val="false"/>
          <w:sz w:val="30"/>
          <w:szCs w:val="30"/>
        </w:rPr>
        <w:t>元，主要用于以下方面：</w:t>
      </w:r>
      <w:r>
        <w:rPr>
          <w:rFonts w:ascii="Times New Roman" w:eastAsia="仿宋_GB2312"/>
          <w:b w:val="false"/>
          <w:sz w:val="30"/>
          <w:szCs w:val="30"/>
        </w:rPr>
        <w:t>一般公共服务支出（类）1,418,391.86元，占62.846%；社会保障和就业支出（类）223,177.68元，占9.889%；卫生健康支出（类）106,078.70元，占4.700%；住房保障支出（类）509,288.00元，占22.565%</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3,260,500.00</w:t>
      </w:r>
      <w:r>
        <w:rPr>
          <w:rFonts w:ascii="Times New Roman" w:eastAsia="仿宋_GB2312"/>
          <w:b w:val="false"/>
          <w:sz w:val="30"/>
          <w:szCs w:val="30"/>
        </w:rPr>
        <w:t>元，支出决算为</w:t>
      </w:r>
      <w:r>
        <w:rPr>
          <w:rFonts w:ascii="Times New Roman" w:eastAsia="仿宋_GB2312"/>
          <w:b w:val="false"/>
          <w:sz w:val="30"/>
          <w:szCs w:val="30"/>
        </w:rPr>
        <w:t>2,256,936.24</w:t>
      </w:r>
      <w:r>
        <w:rPr>
          <w:rFonts w:ascii="Times New Roman" w:eastAsia="仿宋_GB2312"/>
          <w:b w:val="false"/>
          <w:sz w:val="30"/>
          <w:szCs w:val="30"/>
        </w:rPr>
        <w:t>元，完成年初预算的</w:t>
      </w:r>
      <w:r>
        <w:rPr>
          <w:rFonts w:ascii="Times New Roman" w:eastAsia="仿宋_GB2312"/>
          <w:b w:val="false"/>
          <w:sz w:val="30"/>
          <w:szCs w:val="30"/>
        </w:rPr>
        <w:t>69.221</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商贸事务</w:t>
      </w:r>
      <w:r>
        <w:rPr>
          <w:rFonts w:ascii="Times New Roman" w:eastAsia="仿宋_GB2312"/>
          <w:b w:val="false"/>
          <w:sz w:val="30"/>
          <w:szCs w:val="30"/>
        </w:rPr>
        <w:t>(款)</w:t>
      </w:r>
      <w:r>
        <w:rPr>
          <w:rFonts w:ascii="Times New Roman" w:eastAsia="仿宋_GB2312"/>
          <w:b w:val="false"/>
          <w:sz w:val="30"/>
          <w:szCs w:val="30"/>
        </w:rPr>
        <w:t>其他商贸事务支出</w:t>
      </w:r>
      <w:r>
        <w:rPr>
          <w:rFonts w:ascii="Times New Roman" w:eastAsia="仿宋_GB2312"/>
          <w:b w:val="false"/>
          <w:sz w:val="30"/>
          <w:szCs w:val="30"/>
        </w:rPr>
        <w:t>(项)年初预算为</w:t>
      </w:r>
      <w:r>
        <w:rPr>
          <w:rFonts w:ascii="Times New Roman" w:eastAsia="仿宋_GB2312"/>
          <w:b w:val="false"/>
          <w:sz w:val="30"/>
          <w:szCs w:val="30"/>
        </w:rPr>
        <w:t>1,999,100.00</w:t>
      </w:r>
      <w:r>
        <w:rPr>
          <w:rFonts w:ascii="Times New Roman" w:eastAsia="仿宋_GB2312"/>
          <w:b w:val="false"/>
          <w:sz w:val="30"/>
          <w:szCs w:val="30"/>
        </w:rPr>
        <w:t>元，支出决算为</w:t>
      </w:r>
      <w:r>
        <w:rPr>
          <w:rFonts w:ascii="Times New Roman" w:eastAsia="仿宋_GB2312"/>
          <w:b w:val="false"/>
          <w:sz w:val="30"/>
          <w:szCs w:val="30"/>
        </w:rPr>
        <w:t>1,418,391.86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70.952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本部门于2024年9月份拟注销，不再进行核算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223,300.00</w:t>
      </w:r>
      <w:r>
        <w:rPr>
          <w:rFonts w:ascii="Times New Roman" w:eastAsia="仿宋_GB2312"/>
          <w:b w:val="false"/>
          <w:sz w:val="30"/>
          <w:szCs w:val="30"/>
        </w:rPr>
        <w:t>元，支出决算为</w:t>
      </w:r>
      <w:r>
        <w:rPr>
          <w:rFonts w:ascii="Times New Roman" w:eastAsia="仿宋_GB2312"/>
          <w:b w:val="false"/>
          <w:sz w:val="30"/>
          <w:szCs w:val="30"/>
        </w:rPr>
        <w:t>148,785.12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66.630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本部门于2024年9月份拟注销，不再进行核算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111,600.00</w:t>
      </w:r>
      <w:r>
        <w:rPr>
          <w:rFonts w:ascii="Times New Roman" w:eastAsia="仿宋_GB2312"/>
          <w:b w:val="false"/>
          <w:sz w:val="30"/>
          <w:szCs w:val="30"/>
        </w:rPr>
        <w:t>元，支出决算为</w:t>
      </w:r>
      <w:r>
        <w:rPr>
          <w:rFonts w:ascii="Times New Roman" w:eastAsia="仿宋_GB2312"/>
          <w:b w:val="false"/>
          <w:sz w:val="30"/>
          <w:szCs w:val="30"/>
        </w:rPr>
        <w:t>74,392.56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66.660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本部门于2024年9月份拟注销，不再进行核算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153,300.00</w:t>
      </w:r>
      <w:r>
        <w:rPr>
          <w:rFonts w:ascii="Times New Roman" w:eastAsia="仿宋_GB2312"/>
          <w:b w:val="false"/>
          <w:sz w:val="30"/>
          <w:szCs w:val="30"/>
        </w:rPr>
        <w:t>元，支出决算为</w:t>
      </w:r>
      <w:r>
        <w:rPr>
          <w:rFonts w:ascii="Times New Roman" w:eastAsia="仿宋_GB2312"/>
          <w:b w:val="false"/>
          <w:sz w:val="30"/>
          <w:szCs w:val="30"/>
        </w:rPr>
        <w:t>106,078.70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69.197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本部门于2024年9月份拟注销，不再进行核算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773,200.00</w:t>
      </w:r>
      <w:r>
        <w:rPr>
          <w:rFonts w:ascii="Times New Roman" w:eastAsia="仿宋_GB2312"/>
          <w:b w:val="false"/>
          <w:sz w:val="30"/>
          <w:szCs w:val="30"/>
        </w:rPr>
        <w:t>元，支出决算为</w:t>
      </w:r>
      <w:r>
        <w:rPr>
          <w:rFonts w:ascii="Times New Roman" w:eastAsia="仿宋_GB2312"/>
          <w:b w:val="false"/>
          <w:sz w:val="30"/>
          <w:szCs w:val="30"/>
        </w:rPr>
        <w:t>509,288.00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65.868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本部门于2024年9月份拟注销，不再进行核算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天津市东丽区无瑕街经济发展中心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2,256,936.24</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1,032,627.65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本部门于2024年9月份拟注销，不再进行核算</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1,983,421.69</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基本工资、津贴补贴、绩效工资、机关事业单位基本养老保险缴费、职业年金缴费、职工基本医疗保险缴费、其他社会保障缴费、住房公积金、医疗费和奖励金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273,514.55</w:t>
      </w:r>
      <w:r>
        <w:rPr>
          <w:rFonts w:ascii="Times New Roman" w:eastAsia="仿宋_GB2312"/>
          <w:b w:val="false"/>
          <w:sz w:val="30"/>
          <w:szCs w:val="30"/>
        </w:rPr>
        <w:t>元，主要包括</w:t>
      </w:r>
      <w:r>
        <w:rPr>
          <w:rFonts w:ascii="Times New Roman" w:eastAsia="仿宋_GB2312"/>
          <w:b w:val="false"/>
          <w:sz w:val="30"/>
          <w:szCs w:val="30"/>
        </w:rPr>
        <w:t>办公费、水费、电费、邮电费、差旅费、培训费、委托业务费、工会经费、福利费和其他商品和服务支出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天津市东丽区无瑕街经济发展中心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天津市东丽区无瑕街经济发展中心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 ）费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 ）费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天津市东丽区无瑕街经济发展中心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天津市东丽区无瑕街经济发展中心</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天津市东丽区无瑕街经济发展中心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天津市东丽区无瑕街经济发展中心2024年度没有项目支出，无需开展绩效自评。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天津市东丽区无瑕街经济发展中心2024年度不涉及公开教育、医疗卫生、社会保障和就业、住房保障、涉农补贴等民生支出情况。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