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天津市东丽区新立街党群服务中心</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的主要职责是(1)负责辖区服务群众工作；(2)负责审批服务、公共服务等各类便民事项的受理等事务性工作；(3)负责本街社区建设，指导居委会、社区服务站建设；(4)负责社区工作者队伍建设和管理工作；(5)负责“街片长”制相关工作；(6)负责为辖区企业单位、居民群众提供精准化精细化服务等；(7)组织收集社区居民和驻区单位的需求、诉求，向区政府反映社区居民的意见、要求和提出建议；(8)负责指导社会组织和社会志愿者队伍建设工作；(9)负责对投入社区各类资金的统筹管理和监督指导工作；(10)负责本辖区群众性文化体育活动，发展和扶持基层文化体育队伍，积极开展全民健身活动；(11)搞好社区文化宣传阵地建设，抓好社区文艺团队的发展，组织开展经常性的群众文体活动；(12)配合区级有关部门做好辖区内文化娱乐场所和设施的管理工作。。</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outlineLvl w:val="1"/>
        <w:rPr>
          <w:rFonts w:ascii="宋体" w:eastAsia="黑体"/>
          <w:sz w:val="30"/>
          <w:szCs w:val="30"/>
        </w:rPr>
      </w:pPr>
      <w:r>
        <w:rPr>
          <w:rFonts w:ascii="宋体" w:eastAsia="黑体"/>
          <w:b w:val="0"/>
          <w:sz w:val="30"/>
          <w:szCs w:val="30"/>
        </w:rPr>
        <w:t>二、机构设置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天津市东丽区新立街党群服务中心内设1个职能部门；下辖0个预算单位。纳入天津市东丽区新立街党群服务中心2024年度部门决算编制范围的单位包括：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1.​天津市东丽区新立街党群服务中心</w:t>
      </w:r>
    </w:p>
    <w:p>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部门（单位）：天津市东丽区新立街党群服务中心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24,909,133.59</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23,081,510.23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476,437.78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232,319.58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1,118,866.00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24,909,133.59</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24,909,133.59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24,909,133.59</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24,909,133.59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部门（单位）：天津市东丽区新立街党群服务中心 </w:t>
            </w:r>
          </w:p>
        </w:tc>
        <w:tc>
          <w:tcPr>
            <w:tcW w:w="45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24,909,133.59</w:t>
            </w:r>
          </w:p>
        </w:tc>
        <w:tc>
          <w:tcPr>
            <w:tcW w:w="44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24,909,133.59</w:t>
            </w:r>
          </w:p>
        </w:tc>
        <w:tc>
          <w:tcPr>
            <w:tcW w:w="46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23,081,510.23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23,081,510.23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23,081,510.23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23,081,510.23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23,081,510.23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23,081,510.23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476,437.78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476,437.78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476,437.78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476,437.78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308,252.34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308,252.34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168,185.44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168,185.44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232,319.58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232,319.58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232,319.58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232,319.58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232,319.58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232,319.58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1,118,866.00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1,118,866.00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1,118,866.00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1,118,866.00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1,118,866.00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1,118,866.00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部门（单位）：天津市东丽区新立街党群服务中心 </w:t>
            </w: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24,909,133.59</w:t>
            </w:r>
          </w:p>
        </w:tc>
        <w:tc>
          <w:tcPr>
            <w:tcW w:w="2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24,909,133.59</w:t>
            </w:r>
          </w:p>
        </w:tc>
        <w:tc>
          <w:tcPr>
            <w:tcW w:w="23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24,909,133.59</w:t>
            </w:r>
          </w:p>
        </w:tc>
        <w:tc>
          <w:tcPr>
            <w:tcW w:w="21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804201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天津市东丽区新立街党群服务中心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24,909,133.59</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24,909,133.59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24,909,133.59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部门（单位）：天津市东丽区新立街党群服务中心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24,909,133.59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24,909,133.59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23,081,510.23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23,081,510.23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23,081,510.23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23,081,510.23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23,081,510.23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23,081,510.23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476,437.78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476,437.78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476,437.78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476,437.78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308,252.34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308,252.34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168,185.44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168,185.44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232,319.58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232,319.58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232,319.58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232,319.58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232,319.58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232,319.58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1,118,866.00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1,118,866.00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1,118,866.00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1,118,866.00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1,118,866.00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1,118,866.00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部门（单位）：天津市东丽区新立街党群服务中心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24,909,133.59</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23,081,510.23</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23,081,510.23</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476,437.78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476,437.78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232,319.58</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232,319.58</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1,118,866.00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1,118,866.00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24,909,133.59</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24,909,133.59</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24,909,133.59</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24,909,133.59</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24,909,133.59</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24,909,133.59</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天津市东丽区新立街党群服务中心 </w:t>
            </w:r>
          </w:p>
        </w:tc>
        <w:tc>
          <w:tcPr>
            <w:tcW w:w="59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24,909,133.59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24,909,133.59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24,443,112.09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466,021.50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23,081,510.23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23,081,510.23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22,615,488.73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466,021.50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23,081,510.23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23,081,510.23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22,615,488.73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466,021.50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23,081,510.23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23,081,510.23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22,615,488.73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466,021.50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476,437.78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476,437.78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476,437.78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476,437.78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476,437.78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476,437.78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308,252.34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308,252.34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308,252.34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168,185.44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168,185.44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168,185.44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232,319.58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232,319.58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232,319.58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232,319.58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232,319.58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232,319.58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232,319.58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232,319.58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232,319.58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1,118,866.00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1,118,866.00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1,118,866.00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1,118,866.00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1,118,866.00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1,118,866.00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1,118,866.00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1,118,866.00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1,118,866.00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部门（单位）：天津市东丽区新立街党群服务中心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24,442,952.09</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466,021.50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1,037,555.00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204,985.65</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562,329.60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1,281,117.00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367,763.20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183,386.24</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229,234.76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16,047.31</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1,251,068.00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22,086.00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19,492,364.98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3,039.54</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58,166.86</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26,240.00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38,589.45</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135,000.00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24,443,112.09</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466,021.50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天津市东丽区新立街党群服务中心 </w:t>
            </w:r>
          </w:p>
        </w:tc>
        <w:tc>
          <w:tcPr>
            <w:tcW w:w="5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天津市东丽区新立街党群服务中心2024年政府性基金预算财政拨款收入支出决算表为空表。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天津市东丽区新立街党群服务中心 </w:t>
            </w:r>
          </w:p>
        </w:tc>
        <w:tc>
          <w:tcPr>
            <w:tcW w:w="51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天津市东丽区新立街党群服务中心2024年国有资本经营预算财政拨款收入支出决算表为空表。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部门（单位）：天津市东丽区新立街党群服务中心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天津市东丽区新立街党群服务中心2024年财政拨款“三公”经费支出决算表为空表。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部门（单位）：天津市东丽区新立街党群服务中心 </w:t>
            </w:r>
          </w:p>
        </w:tc>
        <w:tc>
          <w:tcPr>
            <w:tcW w:w="568"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天津市东丽区新立街党群服务中心2024年项目支出决算表为空表。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一、收入支出决算总体情况说明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天津市东丽区新立街党群服务中心2024年度收入、支出决算总计24,909,133.59元。与2023年度相比，收、支总计各减少416,764.38元，下降1.646%，主要原因是社区工作人员因离职及退休，造成全年收支减少。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收入包括：一般公共预算财政拨款收入24,909,133.59元。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支出包括：一般公共服务支出23,081,510.23元、社会保障和就业支出476,437.78元、卫生健康支出232,319.58元、住房保障支出1,118,866.00元。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二、收入决算情况说明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天津市东丽区新立街党群服务中心2024年度本年收入合计24,909,133.59元，与2023年度相比减少416,764.38元，主要原因是社区工作人员因离职及退休，全年收入减少。其中：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一般公共预算财政拨款收入24,909,133.59元，占100.000%。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三、支出决算情况说明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天津市东丽区新立街党群服务中心2024年度本年支出合计24,909,133.59元，与2023年度相比减少416,764.38元，主要原因是社区工作人员因离职及退休，全年支出减少。其中：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基本支出24,909,133.59元，占100.000%。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四、财政拨款收支决算总体情况说明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天津市东丽区新立街党群服务中心2024年度财政拨款收入、支出决算总计24,909,133.59元。与2023年度相比，财政拨款收、支总计各减少416,764.38元，下降1.646%，主要原因是社区工作人员因离职及退休，全年收支减少。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outlineLvl w:val="1"/>
        <w:rPr>
          <w:rFonts w:ascii="Times New Roman" w:eastAsia="仿宋_GB2312"/>
          <w:sz w:val="30"/>
          <w:szCs w:val="30"/>
        </w:rPr>
      </w:pPr>
      <w:r>
        <w:rPr>
          <w:rFonts w:ascii="Times New Roman" w:eastAsia="仿宋_GB2312"/>
          <w:b w:val="0"/>
          <w:sz w:val="30"/>
          <w:szCs w:val="30"/>
        </w:rPr>
        <w:t>收入包括：一般公共预算财政拨款24,909,133.59元。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支出包括：一般公共服务支出23,081,510.23元、社会保障和就业支出476,437.78元、卫生健康支出232,319.58元、住房保障支出1,118,866.00元。</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2024年度部门决算一般公共预算财政拨款支出合计24,909,133.59元，占本年支出合计的100.000%。与2023年度相比，一般公共预算财政拨款支出减少416,764.38元，下降1.646%，主要原因是社区工作人员因离职及退休，全年支出减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（二）支出结构情况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24,909,133.59元，主要用于以下方面：一般公共服务支出（类）23,081,510.23元，占92.663%；社会保障和就业支出（类）476,437.78元，占1.913%；卫生健康支出（类）232,319.58元，占0.933%；住房保障支出（类）1,118,866.00元，占4.492%。</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（三）具体情况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2024年度一般公共预算财政拨款支出年初预算为27,015,900.00元，支出决算为24,909,133.59元，完成年初预算的92.202%。其中： </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一般公共服务支出(类)其他共产党事务支出(款)其他共产党事务支出(项)年初预算为27,015,900.00元，支出决算为23,081,510.23元，完成年初预算的85.437%，决算数小于年初预算数的主要原因是：社区工作人员因离职及退休</w:t>
      </w:r>
      <w:bookmarkStart w:id="0" w:name="_GoBack"/>
      <w:bookmarkEnd w:id="0"/>
      <w:r>
        <w:rPr>
          <w:rFonts w:ascii="Times New Roman" w:eastAsia="仿宋_GB2312"/>
          <w:b w:val="0"/>
          <w:sz w:val="30"/>
          <w:szCs w:val="30"/>
        </w:rPr>
        <w:t>，导致决算数小于预算数；此外，年中科目调整，将部分经费调至社保和医疗科目。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0.00元，支出决算为308,252.34元，决算数大于年初预算数的主要原因是：在编制2024年度年初预算时，由于科目编制错误，于2024年进行了调整，导致收支决算数正常，年初预算数为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0.00元，支出决算为168,185.44元，决算数大于年初预算数的主要原因是：在编制2024年度年初预算时，由于科目编制错误，于2024年进行了调整，导致收支决算数正常，年初预算数为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4.​卫生健康支出(类)行政事业单位医疗(款)事业单位医疗(项)年初预算为0.00元，支出决算为232,319.58元，决算数大于年初预算数的主要原因是：在编制2024年度年初预算时，由于科目编制错误，于2024年进行了调整，导致收支决算数正常，年初预算数为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5.​住房保障支出(类)住房改革支出(款)住房公积金(项)年初预算为0.00元，支出决算为1,118,866.00元，决算数大于年初预算数的主要原因是：在编制2024年度年初预算时，由于科目编制错误，于2024年进行了调整，导致收支决算数正常，年初预算数为0。</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天津市东丽区新立街党群服务中心2024年度部门决算一般公共预算财政拨款基本支出合计24,909,133.59元，与2023年度相比减少416,764.38元，主要原因是社区工作人员因离职及退休，全年支出数减少。其中：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人员经费24,443,112.09元，主要包括基本工资、津贴补贴、绩效工资、机关事业单位基本养老保险缴费、职业年金缴费、职工基本医疗保险缴费、其他社会保障缴费、住房公积金、医疗费、其他工资福利支出和奖励金。</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公用经费466,021.50元，主要包括办公费、培训费、工会经费、福利费、税金及附加费用和其他商品和服务支出。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七、政府性基金预算财政拨款收支决算情况说明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天津市东丽区新立街党群服务中心2024年度无政府性基金预算财政拨款收入、支出和结转结余。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八、国有资本经营预算财政拨款收支决算情况说明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天津市东丽区新立街党群服务中心2024年度无国有资本经营预算财政拨款收入、支出和结转结余。</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九、财政拨款“三公”经费支出决算情况说明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（一）总体情况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是本年未用财政拨款列支“三公”经费；决算数较上年持平的主要原因是是本年未用财政拨款列支“三公”经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rPr>
          <w:rFonts w:ascii="楷体" w:eastAsia="楷体"/>
          <w:sz w:val="30"/>
          <w:szCs w:val="30"/>
        </w:rPr>
      </w:pPr>
      <w:r>
        <w:rPr>
          <w:rFonts w:ascii="楷体" w:eastAsia="楷体"/>
          <w:b/>
          <w:sz w:val="30"/>
          <w:szCs w:val="30"/>
        </w:rPr>
        <w:t>（二）具体情况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2024年本单位组织的出国团组0个，出国0人次。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2024年购置公务用车0辆。</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十、机关运行经费支出情况说明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天津市东丽区新立街党群服务中心2024年度无机关运行经费。</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十一、政府采购支出情况说明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天津市东丽区新立街党群服务中心2024年度无政府采购支出。</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十二、国有资产占有使用情况说明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天津市东丽区新立街党群服务中心2024年度无国有资产占有使用情况。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十三、预算绩效情况说明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天津市东丽区新立街党群服务中心2024年度没有项目支出，无需开展绩效自评。</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2" w:firstLineChars="200"/>
        <w:jc w:val="both"/>
        <w:textAlignment w:val="auto"/>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天津市东丽区新立街党群服务中心2024年度不涉及公开教育、医疗卫生、社会保障和就业、住房保障、涉农补贴等民生支出情况。</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center"/>
        <w:textAlignment w:val="auto"/>
        <w:outlineLvl w:val="0"/>
        <w:rPr>
          <w:rFonts w:ascii="黑体" w:eastAsia="黑体"/>
          <w:sz w:val="44"/>
          <w:szCs w:val="44"/>
        </w:rPr>
      </w:pPr>
      <w:r>
        <w:rPr>
          <w:rFonts w:ascii="黑体" w:eastAsia="黑体"/>
          <w:b w:val="0"/>
          <w:sz w:val="44"/>
          <w:szCs w:val="44"/>
        </w:rPr>
        <w:t>第四部分 名词解释</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60" w:lineRule="auto"/>
        <w:ind w:firstLine="600" w:firstLineChars="200"/>
        <w:jc w:val="both"/>
        <w:textAlignment w:val="auto"/>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jc w:val="both"/>
        <w:textAlignment w:val="auto"/>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3A1350C-6F9A-4D44-A216-2F8FDF740344}"/>
  </w:font>
  <w:font w:name="黑体">
    <w:panose1 w:val="02010609060101010101"/>
    <w:charset w:val="86"/>
    <w:family w:val="auto"/>
    <w:pitch w:val="default"/>
    <w:sig w:usb0="800002BF" w:usb1="38CF7CFA" w:usb2="00000016" w:usb3="00000000" w:csb0="00040001" w:csb1="00000000"/>
    <w:embedRegular r:id="rId2" w:fontKey="{C404FCF8-615C-487F-8D58-40985F816F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43DCFD56-491B-436E-9D36-152D94C5DFBA}"/>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Fz_S_BiaoSong_Jt">
    <w:altName w:val="Segoe Print"/>
    <w:panose1 w:val="00000000000000000000"/>
    <w:charset w:val="00"/>
    <w:family w:val="auto"/>
    <w:pitch w:val="default"/>
    <w:sig w:usb0="00000000" w:usb1="00000000" w:usb2="00000000" w:usb3="00000000" w:csb0="00000000" w:csb1="00000000"/>
    <w:embedRegular r:id="rId4" w:fontKey="{6C534256-58EA-4BCD-9307-29FC45B8AA6E}"/>
  </w:font>
  <w:font w:name="仿宋_GB2312">
    <w:altName w:val="仿宋"/>
    <w:panose1 w:val="00000000000000000000"/>
    <w:charset w:val="00"/>
    <w:family w:val="auto"/>
    <w:pitch w:val="default"/>
    <w:sig w:usb0="00000000" w:usb1="00000000" w:usb2="00000000" w:usb3="00000000" w:csb0="00000000" w:csb1="00000000"/>
    <w:embedRegular r:id="rId5" w:fontKey="{BD8D14F8-B9D2-40C1-B67B-F12789FB75DB}"/>
  </w:font>
  <w:font w:name="宋体-简">
    <w:altName w:val="宋体"/>
    <w:panose1 w:val="02010800040101010101"/>
    <w:charset w:val="86"/>
    <w:family w:val="auto"/>
    <w:pitch w:val="default"/>
    <w:sig w:usb0="00000000" w:usb1="00000000" w:usb2="00000000" w:usb3="00000000" w:csb0="00040000" w:csb1="00000000"/>
    <w:embedRegular r:id="rId6" w:fontKey="{9F209DAD-178E-448D-87FF-552E50DC4420}"/>
  </w:font>
  <w:font w:name="楷体">
    <w:panose1 w:val="02010609060101010101"/>
    <w:charset w:val="86"/>
    <w:family w:val="auto"/>
    <w:pitch w:val="default"/>
    <w:sig w:usb0="800002BF" w:usb1="38CF7CFA" w:usb2="00000016" w:usb3="00000000" w:csb0="00040001" w:csb1="00000000"/>
    <w:embedRegular r:id="rId7" w:fontKey="{D26B57FC-4DA7-41DB-AF77-A0B0218162F9}"/>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zAsImhkaWQiOiJjYmYwYTI1YzNlMzEyYTY1OWJhZjhjZTVmYjc3MTU5Yy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CE22A6D"/>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12</TotalTime>
  <ScaleCrop>false</ScaleCrop>
  <LinksUpToDate>false</LinksUpToDate>
  <CharactersWithSpaces>893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2025-09-22T07:09:30Z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