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天津市东丽区新立街经济发展中心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的主要职责是协助落实街道经济发展规划、优化辖区营商环境，负责贯彻落实企业发展的有关政策，服务辖区企业经济发展工作;负责落实“双万双服促发展”工作安排，摸排企业需求，开展政策宣传，促进银企对接等工作;协助实施人才支持政策、资金支持政策，服务企业科技进步、技术改造，调整产业、产品和布局结构;负责农业病虫害防治、农业技术服务和推广工作;负责农田水利设施建设管理;配合做好林业相关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天津市东丽区新立街经济发展中心内设1个职能部门；下辖0个预算单位。纳入天津市东丽区新立街经济发展中心2024年度部门决算编制范围的单位包括：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1.​天津市东丽区新立街经济发展中心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2,204,843.72</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2,204,843.72</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198,002.55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198,002.55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198,002.55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198,002.55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132,545.91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132,545.91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65,456.64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65,456.64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129,265.12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129,265.12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129,265.12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129,265.12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129,265.12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129,265.12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442,855.00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442,855.00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442,855.00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442,855.00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442,855.00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442,855.00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部门（单位）：天津市东丽区新立街经济发展中心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2,204,843.72</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2,204,843.72</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2,204,843.72</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天津市东丽区新立街经济发展中心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2,204,843.72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2,204,843.72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2,204,843.72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132,545.91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132,545.91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65,456.64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65,456.64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198,002.55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129,265.12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2,204,843.72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天津市东丽区新立街经济发展中心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2,204,843.72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2,204,843.72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1,979,528.47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225,315.25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1,209,405.80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225,315.25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1,209,405.80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225,315.25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1,209,405.80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225,315.25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198,002.55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198,002.55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198,002.55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198,002.55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198,002.55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198,002.55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132,545.91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132,545.91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132,545.91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65,456.64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65,456.64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65,456.64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129,265.12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442,855.00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1,736,570.27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225,315.25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380,001.60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97,475.08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170,408.00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446,302.40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132,545.91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65,456.64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81,821.12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5,727.60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442,855.00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242,958.20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162,896.20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35,992.00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21,613.17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46,667.00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1,979,528.47</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225,315.25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天津市东丽区新立街经济发展中心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天津市东丽区新立街经济发展中心2024年政府性基金预算财政拨款收入支出决算表为空表。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天津市东丽区新立街经济发展中心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天津市东丽区新立街经济发展中心2024年国有资本经营预算财政拨款收入支出决算表为空表。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天津市东丽区新立街经济发展中心2024年财政拨款“三公”经费支出决算表为空表。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部门（单位）：天津市东丽区新立街经济发展中心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天津市东丽区新立街经济发展中心2024年项目支出决算表为空表。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收入、支出决算总计2,204,843.72元。与2023年度相比，收、支总计各减少867,563.99元，下降28.237%，主要原因是由于机构改革，该单位2024年办理撤销，人员调出，全年收支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收入包括：一般公共预算财政拨款收入2,204,843.72元。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支出包括：一般公共服务支出1,434,721.05元、社会保障和就业支出198,002.55元、卫生健康支出129,265.12元、住房保障支出442,855.00元。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天津市东丽区新立街经济发展中心2024年度本年收入合计2,204,843.72元，与2023年度相比减少867,563.99元，主要原因是由于机构改革，该单位2024年办理撤销，人员调出，全年收入减少。其中：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一般公共预算财政拨款收入2,204,843.72元，占100.000%。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天津市东丽区新立街经济发展中心2024年度本年支出合计2,204,843.72元，与2023年度相比减少867,563.99元，主要原因是由于机构改革，该单位2024年办理撤销，人员调出，全年支出减少。其中：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基本支出2,204,843.72元，占100.000%。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财政拨款收入、支出决算总计2,204,843.72元。与2023年度相比，财政拨款收、支总计各减少867,563.99元，下降28.237%，主要原因是由于机构改革，该单位2024年办理撤销，人员调出，全年收支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收入包括：一般公共预算财政拨款2,204,843.72元。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支出包括：一般公共服务支出1,434,721.05元、社会保障和就业支出198,002.55元、卫生健康支出129,265.12元、住房保障支出442,855.00元。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部门决算一般公共预算财政拨款支出合计2,204,843.72元，占本年支出合计的100.000%。与2023年度相比，一般公共预算财政拨款支出减少867,563.99元，下降28.237%，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2,204,843.72元，主要用于以下方面：一般公共服务支出（类）1,434,721.05元，占65.071%；社会保障和就业支出（类）198,002.55元，占8.980%；卫生健康支出（类）129,265.12元，占5.863%；住房保障支出（类）442,855.00元，占20.086%。</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2024年度一般公共预算财政拨款支出年初预算为3,169,500.00元，支出决算为2,204,843.72元，完成年初预算的69.564%。其中：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商贸事务(款)其他商贸事务支出(项)年初预算为2,041,400.00元，支出决算为1,434,721.05元，完成年初预算的70.281%，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196,400.00元，支出决算为132,545.91元，完成年初预算的67.488%，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98,200.00元，支出决算为65,456.64元，完成年初预算的66.656%，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172,500.00元，支出决算为129,265.12元，完成年初预算的74.936%，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住房保障支出(类)住房改革支出(款)住房公积金(项)年初预算为661,000.00元，支出决算为442,855.00元，完成年初预算的66.998%，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部门决算一般公共预算财政拨款基本支出合计2,204,843.72元，与2023年度相比减少867,563.99元，主要原因是由于机构改革，该单位2024年办理撤销，人员调出，全年支出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1,979,528.47元，主要包括基本工资、津贴补贴、绩效工资、机关事业单位基本养老保险缴费、职业年金缴费、职工基本医疗保险缴费、其他社会保障缴费、住房公积金、医疗费、退休费、医疗费补助、奖励金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公用经费225,315.25元，主要包括办公费、培训费、福利费、税金及附加费用和其他商品和服务支出。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天津市东丽区新立街经济发展中心2024年度无机关运行经费。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天津市东丽区新立街经济发展中心2024年度没有项目支出，无需开展绩效自评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天津市东丽区新立街经济发展中心2024年度不涉及公开教育、医疗卫生、社会保障和就业、住房保障、涉农补贴等民生支出情况。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bookmarkStart w:id="0" w:name="_GoBack"/>
      <w:r>
        <w:rPr>
          <w:rFonts w:ascii="黑体" w:eastAsia="黑体"/>
          <w:b w:val="0"/>
          <w:sz w:val="44"/>
          <w:szCs w:val="44"/>
        </w:rPr>
        <w:t>第四部分 名词解释</w:t>
      </w:r>
    </w:p>
    <w:bookmarkEnd w:id="0"/>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CAA8752-0CC4-43BD-A4C5-3A219F388073}"/>
  </w:font>
  <w:font w:name="黑体">
    <w:panose1 w:val="02010609060101010101"/>
    <w:charset w:val="86"/>
    <w:family w:val="auto"/>
    <w:pitch w:val="default"/>
    <w:sig w:usb0="800002BF" w:usb1="38CF7CFA" w:usb2="00000016" w:usb3="00000000" w:csb0="00040001" w:csb1="00000000"/>
    <w:embedRegular r:id="rId2" w:fontKey="{B126D9A4-D5DE-4A55-91A7-6C12055AA8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E54AC1E3-A4B8-480C-ADA2-4EF43444F74C}"/>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6012C900-5EC4-4ADE-A235-A16F672C40C2}"/>
  </w:font>
  <w:font w:name="仿宋_GB2312">
    <w:altName w:val="仿宋"/>
    <w:panose1 w:val="00000000000000000000"/>
    <w:charset w:val="00"/>
    <w:family w:val="auto"/>
    <w:pitch w:val="default"/>
    <w:sig w:usb0="00000000" w:usb1="00000000" w:usb2="00000000" w:usb3="00000000" w:csb0="00000000" w:csb1="00000000"/>
    <w:embedRegular r:id="rId5" w:fontKey="{1F07B251-1588-45A3-9847-96D452A34167}"/>
  </w:font>
  <w:font w:name="宋体-简">
    <w:altName w:val="宋体"/>
    <w:panose1 w:val="02010800040101010101"/>
    <w:charset w:val="86"/>
    <w:family w:val="auto"/>
    <w:pitch w:val="default"/>
    <w:sig w:usb0="00000000" w:usb1="00000000" w:usb2="00000000" w:usb3="00000000" w:csb0="00040000" w:csb1="00000000"/>
    <w:embedRegular r:id="rId6" w:fontKey="{6041264C-5692-4114-AC57-83FC6A376597}"/>
  </w:font>
  <w:font w:name="楷体">
    <w:panose1 w:val="02010609060101010101"/>
    <w:charset w:val="86"/>
    <w:family w:val="auto"/>
    <w:pitch w:val="default"/>
    <w:sig w:usb0="800002BF" w:usb1="38CF7CFA" w:usb2="00000016" w:usb3="00000000" w:csb0="00040001" w:csb1="00000000"/>
    <w:embedRegular r:id="rId7" w:fontKey="{DD15E5B7-7AE3-4868-9F3E-CC3003D695A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jYmYwYTI1YzNlMzEyYTY1OWJhZjhjZTVmYjc3MTU5Yy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996CB8"/>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12</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2025-09-22T07:12:48Z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