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天津市东丽区新立街综合执法大队</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天津市东丽区新立街综合执法大队的主要职责是负责辖区内综合执法工作，集中行使行政处罚及相应的行政检查和行政强制权。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天津市东丽区新立街综合执法大队内设1个职能部门；下辖0个预算单位。纳入天津市东丽区新立街综合执法大队2024年度部门决算编制范围的单位包括：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1.​天津市东丽区新立街综合执法大队</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4,436,683.22</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4,436,683.22</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477,308.22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477,308.22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477,308.22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477,308.22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318,225.82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318,225.82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159,082.40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159,082.40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237,867.72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237,867.72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237,867.72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237,867.72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198,097.12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198,097.12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39,770.60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39,770.60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974,719.00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974,719.00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974,719.00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974,719.00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974,719.00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974,719.00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部门（单位）：天津市东丽区新立街综合执法大队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4,436,683.22</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4,436,683.22</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4,436,683.22</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4,436,683.22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4,436,683.22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4,436,683.22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318,225.82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318,225.82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159,082.40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159,082.40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198,097.12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198,097.12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39,770.60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39,770.60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477,308.22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237,867.72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4,436,683.22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天津市东丽区新立街综合执法大队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4,436,683.22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4,436,683.22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4,001,781.04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434,902.18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477,308.22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477,308.22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477,308.22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477,308.22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477,308.22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477,308.22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318,225.82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318,225.82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318,225.82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159,082.40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159,082.40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159,082.40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237,867.72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237,867.72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237,867.72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237,867.72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237,867.72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237,867.72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198,097.12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198,097.12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198,097.12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39,770.60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39,770.60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39,770.60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2,311,886.10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434,902.18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2,311,886.10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434,902.18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2,311,886.10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434,902.18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974,719.00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3,992,699.84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434,902.18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644,352.50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127,205.95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958,222.50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660,173.00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36,080.00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318,225.82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159,082.40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198,097.12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39,770.60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3,976.90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974,719.00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9,081.20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4,281.20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41,831.65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134,530.00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30,844.58</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4,001,781.04</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434,902.18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天津市东丽区新立街综合执法大队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天津市东丽区新立街综合执法大队2024年政府性基金预算财政拨款收入支出决算表为空表。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天津市东丽区新立街综合执法大队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天津市东丽区新立街综合执法大队2024年国有资本经营预算财政拨款收入支出决算表为空表。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天津市东丽区新立街综合执法大队2024年财政拨款“三公”经费支出决算表为空表。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部门（单位）：天津市东丽区新立街综合执法大队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天津市东丽区新立街综合执法大队2024年项目支出决算表为空表。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天津市东丽区新立街综合执法大队2024年度收入、支出决算总计4,436,683.22元。与2023年度相比，收、支总计各增加408,239.02元，增长10.134%，主要原因是新增入职人员导致基本支出增加。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收入包括：一般公共预算财政拨款收入4,436,683.22元。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支出包括：社会保障和就业支出477,308.22元、卫生健康支出237,867.72元、城乡社区支出2,746,788.28元、住房保障支出974,719.00元。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天津市东丽区新立街综合执法大队2024年度本年收入合计4,436,683.22元，与2023年度相比增加408,239.02元，主要原因是新增入职人员导财政拨款收入增加。其中：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一般公共预算财政拨款收入4,436,683.22元，占100.000%。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天津市东丽区新立街综合执法大队2024年度本年支出合计4,436,683.22元，与2023年度相比增加408,239.02元，主要原因是新增入职人员导致基本支出增加。其中：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基本支出4,436,683.22元，占100.000%。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天津市东丽区新立街综合执法大队2024年度财政拨款收入、支出决算总计4,436,683.22元。与2023年度相比，财政拨款收、支总计各增加408,239.02元，增长10.134%，主要原因是新增入职人员导致收入、支出增加。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收入包括：一般公共预算财政拨款4,436,683.22元。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支出包括：社会保障和就业支出477,308.22元、卫生健康支出237,867.72元、城乡社区支出2,746,788.28元、住房保障支出974,719.00元。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部门决算一般公共预算财政拨款支出合计4,436,683.22元，占本年支出合计的100.000%。与2023年度相比，一般公共预算财政拨款支出增加408,239.02元，增长10.134%，主要原因是新增入职人员导致基本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4,436,683.22元，主要用于以下方面：社会保障和就业支出（类）477,308.22元，占10.758%；卫生健康支出（类）237,867.72元，占5.361%；城乡社区支出（类）2,746,788.28元，占61.911%；住房保障支出（类）974,719.00元，占21.970%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2024年度一般公共预算财政拨款支出年初预算为4,179,300.00元，支出决算为4,436,683.22元，完成年初预算的106.159%。其中：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325,100.00元，支出决算为318,225.82元，完成年初预算的97.886%，决算数小于年初预算数的主要原因是：按照实际养老保险情况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162,600.00元，支出决算为159,082.40元，完成年初预算的97.837%，决算数小于年初预算数的主要原因是：按照实际职业年金缴费情况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3.​卫生健康支出(类)行政事业单位医疗(款)行政单位医疗(项)年初预算为203,200.00元，支出决算为198,097.12元，完成年初预算的97.489%，决算数小于年初预算数的主要原因是：按照实际行政事业单位医疗情况支出。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4.​卫生健康支出(类)行政事业单位医疗(款)公务员医疗补助(项)年初预算为40,600.00元，支出决算为39,770.60元，完成年初预算的97.957%，决算数小于年初预算数的主要原因是：按照实际公务员医疗补助情况支出。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5.​城乡社区支出(类)城乡社区管理事务(款)城管执法(项)年初预算为2,148,700.00元，支出决算为2,746,788.28元，完成年初预算的127.835%，决算数大于年初预算数的主要原因是：由于新增入职人员基本支出增加。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6.​自然资源海洋气象等支出(类)自然资源事务(款)行政运行(项)年初预算为433,000.00元，支出决算为0.00元，完成年初预算的0.000%，决算数小于年初预算数的主要原因是：因编制2024年预算时，科目录入错误，于2024年进行了调整，导致决算数为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7.​住房保障支出(类)住房改革支出(款)住房公积金(项)年初预算为866,100.00元，支出决算为974,719.00元，完成年初预算的112.541%，决算数大于年初预算数的主要原因是：由于新增入职人员，住房公积金有所增加。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天津市东丽区新立街综合执法大队2024年度部门决算一般公共预算财政拨款基本支出合计4,436,683.22元，与2023年度相比增加408,239.02元，主要原因是新增入职人员导致基本支出增加。其中：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4,001,781.04元，主要包括基本工资、津贴补贴、奖金、绩效工资、机关事业单位基本养老保险缴费、职业年金缴费、职工基本医疗保险缴费、公务员医疗补助缴费、其他社会保障缴费、住房公积金、退休费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公用经费434,902.18元，主要包括办公费、工会经费、福利费、其他交通费用、税金及附加费用和其他商品和服务支出。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未用财政拨款列支因公出国（境）费；决算数较上年持平的主要原因是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未用财政拨款列支公务接待费；决算数较上年持平的主要原因是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新立街综合执法大队2024年度机关运行经费年初预算411,684.32元，决算数434,902.18元，与年初预算相比增加23,217.86元，完成年初预算的105.640%；比2023年增加85,585.93元，增长24.501%。主要原因是：新增入职人员导致公用经费支出增加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天津市东丽区新立街综合执法大队2024年度没有项目支出，无需开展绩效自评。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天津市东丽区新立街综合执法大队不涉及公开教育、医疗卫生、社会保障和就业、住房保障、涉农补贴等民生支出情况。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bookmarkStart w:id="0" w:name="_GoBack"/>
      <w:r>
        <w:rPr>
          <w:rFonts w:ascii="黑体" w:eastAsia="黑体"/>
          <w:b w:val="0"/>
          <w:sz w:val="44"/>
          <w:szCs w:val="44"/>
        </w:rPr>
        <w:t>第四部分 名词解释</w:t>
      </w:r>
    </w:p>
    <w:bookmarkEnd w:id="0"/>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0F72979-599F-4CCD-B898-654E66EE1B61}"/>
  </w:font>
  <w:font w:name="黑体">
    <w:panose1 w:val="02010609060101010101"/>
    <w:charset w:val="86"/>
    <w:family w:val="auto"/>
    <w:pitch w:val="default"/>
    <w:sig w:usb0="800002BF" w:usb1="38CF7CFA" w:usb2="00000016" w:usb3="00000000" w:csb0="00040001" w:csb1="00000000"/>
    <w:embedRegular r:id="rId2" w:fontKey="{25F5AADB-D4D4-48CD-80D5-7FBF575B98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CDB841A-75E8-416B-86B5-D037D87E7287}"/>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555A8F9B-D71B-4804-977C-D224D4EBD072}"/>
  </w:font>
  <w:font w:name="仿宋_GB2312">
    <w:altName w:val="仿宋"/>
    <w:panose1 w:val="00000000000000000000"/>
    <w:charset w:val="00"/>
    <w:family w:val="auto"/>
    <w:pitch w:val="default"/>
    <w:sig w:usb0="00000000" w:usb1="00000000" w:usb2="00000000" w:usb3="00000000" w:csb0="00000000" w:csb1="00000000"/>
    <w:embedRegular r:id="rId5" w:fontKey="{AFB67824-6969-4FD7-B69C-9D9F0CC6E188}"/>
  </w:font>
  <w:font w:name="宋体-简">
    <w:altName w:val="宋体"/>
    <w:panose1 w:val="02010800040101010101"/>
    <w:charset w:val="86"/>
    <w:family w:val="auto"/>
    <w:pitch w:val="default"/>
    <w:sig w:usb0="00000000" w:usb1="00000000" w:usb2="00000000" w:usb3="00000000" w:csb0="00040000" w:csb1="00000000"/>
    <w:embedRegular r:id="rId6" w:fontKey="{AB3DD4E6-971B-42A8-A6DC-60A9D651918D}"/>
  </w:font>
  <w:font w:name="楷体">
    <w:panose1 w:val="02010609060101010101"/>
    <w:charset w:val="86"/>
    <w:family w:val="auto"/>
    <w:pitch w:val="default"/>
    <w:sig w:usb0="800002BF" w:usb1="38CF7CFA" w:usb2="00000016" w:usb3="00000000" w:csb0="00040001" w:csb1="00000000"/>
    <w:embedRegular r:id="rId7" w:fontKey="{FDF56483-CDF1-4338-9C5E-4ACD427CF03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jYmYwYTI1YzNlMzEyYTY1OWJhZjhjZTVmYjc3MTU5Yy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9F82D66"/>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12</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2025-09-22T07:21:07Z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