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天津市东丽区新立街退役军人服务站</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天津市东丽区新立街退役军人服务站的主要职责是:(1)承担拥军优属、退役军人服务具体工作</w:t>
      </w:r>
      <w:r>
        <w:rPr>
          <w:rFonts w:hint="eastAsia" w:ascii="Times New Roman" w:eastAsia="仿宋_GB2312"/>
          <w:b w:val="0"/>
          <w:sz w:val="30"/>
          <w:szCs w:val="30"/>
          <w:lang w:eastAsia="zh-CN"/>
        </w:rPr>
        <w:t>；</w:t>
      </w:r>
      <w:r>
        <w:rPr>
          <w:rFonts w:ascii="Times New Roman" w:eastAsia="仿宋_GB2312"/>
          <w:b w:val="0"/>
          <w:sz w:val="30"/>
          <w:szCs w:val="30"/>
        </w:rPr>
        <w:t>(2)协助街道武装部做好相关事务性工作。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天津市东丽区新立街退役军人服务站内设1个职能部门；下辖0个预算单位。纳入天津市东丽区新立街退役军人服务站2024年度部门决算编制范围的单位包括：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1.​天津市东丽区新立街退役军人服务站</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1,517,953.49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2,118,347.97</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2,118,347.97</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1,517,953.49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1,517,953.49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218,397.12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218,397.12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145,598.08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145,598.08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72,799.04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72,799.04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97,543.48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502,851.00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部门（单位）：天津市东丽区新立街退役军人服务站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2,118,347.97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1,517,953.49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1,517,953.49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218,397.12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218,397.12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72,799.04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72,799.04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1,517,953.49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1,517,953.49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97,543.48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2,118,347.97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天津市东丽区新立街退役军人服务站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2,118,347.97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2,118,347.97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1,967,129.72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1,517,953.49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1,517,953.49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1,366,735.24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218,397.12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218,397.12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218,397.12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145,598.08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145,598.08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145,598.08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72,799.04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72,799.04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72,799.04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1,148,338.12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1,148,338.12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97,543.48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502,851.00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1,966,840.72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151,218.25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416,800.00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57,975.00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227,818.00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492,561.00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145,598.08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72,799.04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90,999.48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6,370.12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502,851.00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872.45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32,011.56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7,810.00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12,549.24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1,967,129.72</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151,218.25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天津市东丽区新立街退役军人服务站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天津市东丽区新立街退役军人服务站2024年政府性基金预算财政拨款收入支出决算表为空表。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天津市东丽区新立街退役军人服务站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天津市东丽区新立街退役军人服务站2024年国有资本经营预算财政拨款收入支出决算表为空表。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天津市东丽区新立街退役军人服务站2024年财政拨款“三公”经费支出决算表为空表。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部门（单位）：天津市东丽区新立街退役军人服务站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天津市东丽区新立街退役军人服务站2024年项目支出决算表为空表。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天津市东丽区新立街退役军人服务站2024年度收入、支出决算总计2,118,347.97元。与2023年度相比，收、支总计各增加427,220.83元，增长25.262%，主要原因是因机构改革新增调入人员，全年收支增加。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收入包括：一般公共预算财政拨款收入2,118,347.97元。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支出包括：社会保障和就业支出1,517,953.49元、卫生健康支出97,543.48元、住房保障支出502,851.00元。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天津市东丽区新立街退役军人服务站2024年度本年收入合计2,118,347.97元，与2023年度相比增加427,220.83元，主要原因是因机构改革新增调入人员，全年收入增加。其中：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一般公共预算财政拨款收入2,118,347.97元，占100.000%。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天津市东丽区新立街退役军人服务站2024年度本年支出合计2,118,347.97元，与2023年度相比增加427,220.83元，主要原因是因机构改革新增调入人员，全年支出增加。其中：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基本支出2,118,347.97元，占100.000%。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天津市东丽区新立街退役军人服务站2024年度财政拨款收入、支出决算总计2,118,347.97元。与2023年度相比，财政拨款收、支总计各增加427,220.83元，增长25.262%，主要原因是因机构改革新增调入人员，全年收支增加。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收入包括：一般公共预算财政拨款2,118,347.97元。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支出包括：社会保障和就业支出1,517,953.49元、卫生健康支出97,543.48元、住房保障支出502,851.00元。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部门决算一般公共预算财政拨款支出合计2,118,347.97元，占本年支出合计的100.000%。与2023年度相比，一般公共预算财政拨款支出增加427,220.83元，增长25.262%，主要原因是因机构改革新增调入人员，全年收支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2024年度一般公共预算财政拨款支出2,118,347.97元，主要用于以下方面：社会保障和就业支出（类）1,517,953.49元，占71.657%；卫生健康支出（类）97,543.48元，占4.605%；住房保障支出（类）502,851.00元，占23.738%。</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2024年度一般公共预算财政拨款支出年初预算为1,617,400.00元，支出决算为2,118,347.97元，完成年初预算的130.972%。其中：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商贸事务(款)其他商贸事务支出(项)年初预算为64,500.00元，支出决算为0.00元，完成年初预算的0.000%，决算数小于年初预算数的主要原因是：由于编制2024年预算时，科目编制错误，于2024年进行了调整，导致年初预算数与决算数有差异。</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109,500.00元，支出决算为145,598.08元，完成年初预算的132.966%，决算数大于年初预算数的主要原因是：因机构改革新增调入人员，全年保险费用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54,700.00元，支出决算为72,799.04元，完成年初预算的133.088%，决算数大于年初预算数的主要原因是：因机构改革新增调入人员，全年保险费用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社会保障和就业支出(类)退役安置(款)其他退役安置支出(项)年初预算为928,800.00元，支出决算为1,299,556.37元，完成年初预算的139.918%，决算数大于年初预算数的主要原因是：因机构改革新增调入人员，全年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卫生健康支出(类)行政事业单位医疗(款)事业单位医疗(项)年初预算为75,300.00元，支出决算为97,543.48元，完成年初预算的129.540%，决算数大于年初预算数的主要原因是：因机构改革新增调入人员，全年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6.​住房保障支出(类)住房改革支出(款)住房公积金(项)年初预算为384,600.00元，支出决算为502,851.00元，完成年初预算的130.746%，决算数大于年初预算数的主要原因是：人因机构改革新增调入人员，全年支出增加。</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天津市东丽区新立街退役军人服务站2024年度部门决算一般公共预算财政拨款基本支出合计2,118,347.97元，与2023年度相比增加427,220.83元，主要原因是因机构改革新增调入人员，全年收支增加。其中：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1,967,129.72元，主要包括基本工资、津贴补贴、绩效工资、机关事业单位基本养老保险缴费、职业年金缴费、职工基本医疗保险缴费、其他社会保障缴费、住房公积金、医疗费、其他工资福利支出和退休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公用经费151,218.25元，主要包括办公费、培训费、工会经费、福利费、税金及附加费用和其他商品和服务支出。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天津市东丽区新立街退役军人服务站2024年度不涉及公开教育、医疗卫生、社会保障和就业、住房保障、涉农补贴等民生支出情况。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bookmarkStart w:id="0" w:name="_GoBack"/>
      <w:r>
        <w:rPr>
          <w:rFonts w:ascii="黑体" w:eastAsia="黑体"/>
          <w:b w:val="0"/>
          <w:sz w:val="44"/>
          <w:szCs w:val="44"/>
        </w:rPr>
        <w:t>第四部分 名词解释</w:t>
      </w:r>
    </w:p>
    <w:bookmarkEnd w:id="0"/>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64F9DC9-0A1E-4D3C-94C8-9C8DC70FE432}"/>
  </w:font>
  <w:font w:name="黑体">
    <w:panose1 w:val="02010609060101010101"/>
    <w:charset w:val="86"/>
    <w:family w:val="auto"/>
    <w:pitch w:val="default"/>
    <w:sig w:usb0="800002BF" w:usb1="38CF7CFA" w:usb2="00000016" w:usb3="00000000" w:csb0="00040001" w:csb1="00000000"/>
    <w:embedRegular r:id="rId2" w:fontKey="{0DE029DB-5E59-4B57-B16B-4CACBAD3E1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7CBF9EAF-B4B4-441E-86DB-A8EED8B9ACA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94D8DC38-865B-4D89-969A-25C53FE58A6E}"/>
  </w:font>
  <w:font w:name="仿宋_GB2312">
    <w:altName w:val="仿宋"/>
    <w:panose1 w:val="00000000000000000000"/>
    <w:charset w:val="00"/>
    <w:family w:val="auto"/>
    <w:pitch w:val="default"/>
    <w:sig w:usb0="00000000" w:usb1="00000000" w:usb2="00000000" w:usb3="00000000" w:csb0="00000000" w:csb1="00000000"/>
    <w:embedRegular r:id="rId5" w:fontKey="{2A877D9E-1203-4604-996F-83F9CDBBCBA2}"/>
  </w:font>
  <w:font w:name="宋体-简">
    <w:altName w:val="宋体"/>
    <w:panose1 w:val="02010800040101010101"/>
    <w:charset w:val="86"/>
    <w:family w:val="auto"/>
    <w:pitch w:val="default"/>
    <w:sig w:usb0="00000000" w:usb1="00000000" w:usb2="00000000" w:usb3="00000000" w:csb0="00040000" w:csb1="00000000"/>
    <w:embedRegular r:id="rId6" w:fontKey="{CF6C77B8-13B3-4511-B36B-29B2F8228C6C}"/>
  </w:font>
  <w:font w:name="楷体">
    <w:panose1 w:val="02010609060101010101"/>
    <w:charset w:val="86"/>
    <w:family w:val="auto"/>
    <w:pitch w:val="default"/>
    <w:sig w:usb0="800002BF" w:usb1="38CF7CFA" w:usb2="00000016" w:usb3="00000000" w:csb0="00040001" w:csb1="00000000"/>
    <w:embedRegular r:id="rId7" w:fontKey="{8E642C50-770D-483F-8074-F47CB0B8D91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420187"/>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12</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2025-09-22T07:14:33Z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