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天津市东丽区新立街乡村振兴服务中心</w:t>
      </w:r>
    </w:p>
    <w:p>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pPr>
        <w:rPr>
          <w:rFonts w:hint="eastAsia" w:asciiTheme="minorEastAsia" w:hAnsiTheme="minorEastAsia" w:eastAsiaTheme="minorEastAsia" w:cstheme="minorEastAsia"/>
          <w:b w:val="0"/>
          <w:bCs w:val="0"/>
          <w:sz w:val="22"/>
          <w:szCs w:val="22"/>
          <w:highlight w:val="yellow"/>
        </w:rPr>
      </w:pPr>
    </w:p>
    <w:p>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天津市东丽区新立街乡村振兴服务中心的主要职责是(1)负责做好乡村振兴建设</w:t>
      </w:r>
      <w:r>
        <w:rPr>
          <w:rFonts w:hint="eastAsia" w:ascii="Times New Roman" w:eastAsia="仿宋_GB2312"/>
          <w:b w:val="0"/>
          <w:sz w:val="30"/>
          <w:szCs w:val="30"/>
          <w:lang w:eastAsia="zh-CN"/>
        </w:rPr>
        <w:t>，</w:t>
      </w:r>
      <w:r>
        <w:rPr>
          <w:rFonts w:ascii="Times New Roman" w:eastAsia="仿宋_GB2312"/>
          <w:b w:val="0"/>
          <w:sz w:val="30"/>
          <w:szCs w:val="30"/>
        </w:rPr>
        <w:t>扶持经济薄弱集体经济组织发展工作</w:t>
      </w:r>
      <w:r>
        <w:rPr>
          <w:rFonts w:hint="eastAsia" w:ascii="Times New Roman" w:eastAsia="仿宋_GB2312"/>
          <w:b w:val="0"/>
          <w:sz w:val="30"/>
          <w:szCs w:val="30"/>
          <w:lang w:eastAsia="zh-CN"/>
        </w:rPr>
        <w:t>；</w:t>
      </w:r>
      <w:r>
        <w:rPr>
          <w:rFonts w:ascii="Times New Roman" w:eastAsia="仿宋_GB2312"/>
          <w:b w:val="0"/>
          <w:sz w:val="30"/>
          <w:szCs w:val="30"/>
        </w:rPr>
        <w:t>(2)对集体经济组织的设立、撤销、调整提出意见，指导做好集体经济组织理事会、监事会、成员代表的换届选举工作，推进引导集体经济组织成员依合作社章程参加合作社事务和活动</w:t>
      </w:r>
      <w:r>
        <w:rPr>
          <w:rFonts w:hint="eastAsia" w:ascii="Times New Roman" w:eastAsia="仿宋_GB2312"/>
          <w:b w:val="0"/>
          <w:sz w:val="30"/>
          <w:szCs w:val="30"/>
          <w:lang w:eastAsia="zh-CN"/>
        </w:rPr>
        <w:t>；</w:t>
      </w:r>
      <w:r>
        <w:rPr>
          <w:rFonts w:ascii="Times New Roman" w:eastAsia="仿宋_GB2312"/>
          <w:b w:val="0"/>
          <w:sz w:val="30"/>
          <w:szCs w:val="30"/>
        </w:rPr>
        <w:t>(3)对集体经济组织“三重一大"事项进行指导和监管，负责集体经济组织、新型经济组织财务指导和监管等工作</w:t>
      </w:r>
      <w:r>
        <w:rPr>
          <w:rFonts w:hint="eastAsia" w:ascii="Times New Roman" w:eastAsia="仿宋_GB2312"/>
          <w:b w:val="0"/>
          <w:sz w:val="30"/>
          <w:szCs w:val="30"/>
          <w:lang w:eastAsia="zh-CN"/>
        </w:rPr>
        <w:t>；</w:t>
      </w:r>
      <w:r>
        <w:rPr>
          <w:rFonts w:ascii="Times New Roman" w:eastAsia="仿宋_GB2312"/>
          <w:b w:val="0"/>
          <w:sz w:val="30"/>
          <w:szCs w:val="30"/>
        </w:rPr>
        <w:t>(4)负责指导和监督本街道集体经济组织资产管理、土地承包经营及土地经营权流转工作，对集体经济组织“三资"发展方案和重大经济事项提出审查、审核的意见，并实行托管登记管理，指导集体经济组织发展壮大集体经济</w:t>
      </w:r>
      <w:r>
        <w:rPr>
          <w:rFonts w:hint="eastAsia" w:ascii="Times New Roman" w:eastAsia="仿宋_GB2312"/>
          <w:b w:val="0"/>
          <w:sz w:val="30"/>
          <w:szCs w:val="30"/>
          <w:lang w:eastAsia="zh-CN"/>
        </w:rPr>
        <w:t>；</w:t>
      </w:r>
      <w:r>
        <w:rPr>
          <w:rFonts w:ascii="Times New Roman" w:eastAsia="仿宋_GB2312"/>
          <w:b w:val="0"/>
          <w:sz w:val="30"/>
          <w:szCs w:val="30"/>
        </w:rPr>
        <w:t>(5)负责制定街道农业发展规划</w:t>
      </w:r>
      <w:r>
        <w:rPr>
          <w:rFonts w:hint="eastAsia" w:ascii="Times New Roman" w:eastAsia="仿宋_GB2312"/>
          <w:b w:val="0"/>
          <w:sz w:val="30"/>
          <w:szCs w:val="30"/>
          <w:lang w:eastAsia="zh-CN"/>
        </w:rPr>
        <w:t>；</w:t>
      </w:r>
      <w:r>
        <w:rPr>
          <w:rFonts w:ascii="Times New Roman" w:eastAsia="仿宋_GB2312"/>
          <w:b w:val="0"/>
          <w:sz w:val="30"/>
          <w:szCs w:val="30"/>
        </w:rPr>
        <w:t>(6)组织实施农业产业建设和结构调整、基本农田保护管理、耕地保护、农业项目申报实施、落实惠农政策,推动构建现代农业产业体系、生产体系、经营体系</w:t>
      </w:r>
      <w:r>
        <w:rPr>
          <w:rFonts w:hint="eastAsia" w:ascii="Times New Roman" w:eastAsia="仿宋_GB2312"/>
          <w:b w:val="0"/>
          <w:sz w:val="30"/>
          <w:szCs w:val="30"/>
          <w:lang w:eastAsia="zh-CN"/>
        </w:rPr>
        <w:t>；</w:t>
      </w:r>
      <w:r>
        <w:rPr>
          <w:rFonts w:ascii="Times New Roman" w:eastAsia="仿宋_GB2312"/>
          <w:b w:val="0"/>
          <w:sz w:val="30"/>
          <w:szCs w:val="30"/>
        </w:rPr>
        <w:t>(7)实施耕地保护“田长制”管理，履行对本街道内耕地和永久基本农田保护工作相关职责</w:t>
      </w:r>
      <w:r>
        <w:rPr>
          <w:rFonts w:hint="eastAsia" w:ascii="Times New Roman" w:eastAsia="仿宋_GB2312"/>
          <w:b w:val="0"/>
          <w:sz w:val="30"/>
          <w:szCs w:val="30"/>
          <w:lang w:eastAsia="zh-CN"/>
        </w:rPr>
        <w:t>，</w:t>
      </w:r>
      <w:r>
        <w:rPr>
          <w:rFonts w:ascii="Times New Roman" w:eastAsia="仿宋_GB2312"/>
          <w:b w:val="0"/>
          <w:sz w:val="30"/>
          <w:szCs w:val="30"/>
        </w:rPr>
        <w:t>协调处理耕地及永久基本农田保护工作中的重大问题</w:t>
      </w:r>
      <w:r>
        <w:rPr>
          <w:rFonts w:hint="eastAsia" w:ascii="Times New Roman" w:eastAsia="仿宋_GB2312"/>
          <w:b w:val="0"/>
          <w:sz w:val="30"/>
          <w:szCs w:val="30"/>
          <w:lang w:eastAsia="zh-CN"/>
        </w:rPr>
        <w:t>，</w:t>
      </w:r>
      <w:r>
        <w:rPr>
          <w:rFonts w:ascii="Times New Roman" w:eastAsia="仿宋_GB2312"/>
          <w:b w:val="0"/>
          <w:sz w:val="30"/>
          <w:szCs w:val="30"/>
        </w:rPr>
        <w:t>对“田长制"耕地保护工作开展情况进行日常监督和考核</w:t>
      </w:r>
      <w:r>
        <w:rPr>
          <w:rFonts w:hint="eastAsia" w:ascii="Times New Roman" w:eastAsia="仿宋_GB2312"/>
          <w:b w:val="0"/>
          <w:sz w:val="30"/>
          <w:szCs w:val="30"/>
          <w:lang w:eastAsia="zh-CN"/>
        </w:rPr>
        <w:t>；</w:t>
      </w:r>
      <w:r>
        <w:rPr>
          <w:rFonts w:ascii="Times New Roman" w:eastAsia="仿宋_GB2312"/>
          <w:b w:val="0"/>
          <w:sz w:val="30"/>
          <w:szCs w:val="30"/>
        </w:rPr>
        <w:t>(8)负责做好本街道内农作物秸秆综合利用工作</w:t>
      </w:r>
      <w:r>
        <w:rPr>
          <w:rFonts w:hint="eastAsia" w:ascii="Times New Roman" w:eastAsia="仿宋_GB2312"/>
          <w:b w:val="0"/>
          <w:sz w:val="30"/>
          <w:szCs w:val="30"/>
          <w:lang w:eastAsia="zh-CN"/>
        </w:rPr>
        <w:t>；</w:t>
      </w:r>
      <w:r>
        <w:rPr>
          <w:rFonts w:ascii="Times New Roman" w:eastAsia="仿宋_GB2312"/>
          <w:b w:val="0"/>
          <w:sz w:val="30"/>
          <w:szCs w:val="30"/>
        </w:rPr>
        <w:t>(9)对粮食生产区域承担管护责任</w:t>
      </w:r>
      <w:r>
        <w:rPr>
          <w:rFonts w:hint="eastAsia" w:ascii="Times New Roman" w:eastAsia="仿宋_GB2312"/>
          <w:b w:val="0"/>
          <w:sz w:val="30"/>
          <w:szCs w:val="30"/>
          <w:lang w:eastAsia="zh-CN"/>
        </w:rPr>
        <w:t>；</w:t>
      </w:r>
      <w:r>
        <w:rPr>
          <w:rFonts w:ascii="Times New Roman" w:eastAsia="仿宋_GB2312"/>
          <w:b w:val="0"/>
          <w:sz w:val="30"/>
          <w:szCs w:val="30"/>
        </w:rPr>
        <w:t>(10)做好本街道农作物病虫害防治宣传、动员、组织等工作</w:t>
      </w:r>
      <w:r>
        <w:rPr>
          <w:rFonts w:hint="eastAsia" w:ascii="Times New Roman" w:eastAsia="仿宋_GB2312"/>
          <w:b w:val="0"/>
          <w:sz w:val="30"/>
          <w:szCs w:val="30"/>
          <w:lang w:eastAsia="zh-CN"/>
        </w:rPr>
        <w:t>；</w:t>
      </w:r>
      <w:r>
        <w:rPr>
          <w:rFonts w:ascii="Times New Roman" w:eastAsia="仿宋_GB2312"/>
          <w:b w:val="0"/>
          <w:sz w:val="30"/>
          <w:szCs w:val="30"/>
        </w:rPr>
        <w:t>(11)负责农业技术服务和推广、农田水利工程建设和运行维护等工作</w:t>
      </w:r>
      <w:r>
        <w:rPr>
          <w:rFonts w:hint="eastAsia" w:ascii="Times New Roman" w:eastAsia="仿宋_GB2312"/>
          <w:b w:val="0"/>
          <w:sz w:val="30"/>
          <w:szCs w:val="30"/>
          <w:lang w:eastAsia="zh-CN"/>
        </w:rPr>
        <w:t>；</w:t>
      </w:r>
      <w:r>
        <w:rPr>
          <w:rFonts w:ascii="Times New Roman" w:eastAsia="仿宋_GB2312"/>
          <w:b w:val="0"/>
          <w:sz w:val="30"/>
          <w:szCs w:val="30"/>
        </w:rPr>
        <w:t>(12)负责本街道内林业相关工作，建立林长制</w:t>
      </w:r>
      <w:r>
        <w:rPr>
          <w:rFonts w:hint="eastAsia" w:ascii="Times New Roman" w:eastAsia="仿宋_GB2312"/>
          <w:b w:val="0"/>
          <w:sz w:val="30"/>
          <w:szCs w:val="30"/>
          <w:lang w:eastAsia="zh-CN"/>
        </w:rPr>
        <w:t>，</w:t>
      </w:r>
      <w:r>
        <w:rPr>
          <w:rFonts w:ascii="Times New Roman" w:eastAsia="仿宋_GB2312"/>
          <w:b w:val="0"/>
          <w:sz w:val="30"/>
          <w:szCs w:val="30"/>
        </w:rPr>
        <w:t>做好本街道森林病虫害防治工作</w:t>
      </w:r>
      <w:r>
        <w:rPr>
          <w:rFonts w:hint="eastAsia" w:ascii="Times New Roman" w:eastAsia="仿宋_GB2312"/>
          <w:b w:val="0"/>
          <w:sz w:val="30"/>
          <w:szCs w:val="30"/>
          <w:lang w:eastAsia="zh-CN"/>
        </w:rPr>
        <w:t>；</w:t>
      </w:r>
      <w:r>
        <w:rPr>
          <w:rFonts w:ascii="Times New Roman" w:eastAsia="仿宋_GB2312"/>
          <w:b w:val="0"/>
          <w:sz w:val="30"/>
          <w:szCs w:val="30"/>
        </w:rPr>
        <w:t>(13)负责协助区级机构做好动植物疫病预防控制工作以及农业病虫害监测、预警、检疫、报告、调查与应急处置等技术性工作</w:t>
      </w:r>
      <w:r>
        <w:rPr>
          <w:rFonts w:hint="eastAsia" w:ascii="Times New Roman" w:eastAsia="仿宋_GB2312"/>
          <w:b w:val="0"/>
          <w:sz w:val="30"/>
          <w:szCs w:val="30"/>
          <w:lang w:eastAsia="zh-CN"/>
        </w:rPr>
        <w:t>；</w:t>
      </w:r>
      <w:r>
        <w:rPr>
          <w:rFonts w:ascii="Times New Roman" w:eastAsia="仿宋_GB2312"/>
          <w:b w:val="0"/>
          <w:sz w:val="30"/>
          <w:szCs w:val="30"/>
        </w:rPr>
        <w:t>(14)负责加强野生动物保护的宣传教育和科学知识普及工作，配合做好禁止食用野生动物相关工作</w:t>
      </w:r>
      <w:r>
        <w:rPr>
          <w:rFonts w:hint="eastAsia" w:ascii="Times New Roman" w:eastAsia="仿宋_GB2312"/>
          <w:b w:val="0"/>
          <w:sz w:val="30"/>
          <w:szCs w:val="30"/>
          <w:lang w:eastAsia="zh-CN"/>
        </w:rPr>
        <w:t>；</w:t>
      </w:r>
      <w:r>
        <w:rPr>
          <w:rFonts w:ascii="Times New Roman" w:eastAsia="仿宋_GB2312"/>
          <w:b w:val="0"/>
          <w:sz w:val="30"/>
          <w:szCs w:val="30"/>
        </w:rPr>
        <w:t>(15)负责具天津市东丽区新立街乡村振兴服务中心五年单位预算公开体组织实施本街道农村人居环境整治提升行动,重点抓好改厕和污水、垃圾处理，加强生态环境基础设施建设，杜绝生活污水直排，消除黑臭水体，改造提升环境面貌</w:t>
      </w:r>
      <w:r>
        <w:rPr>
          <w:rFonts w:hint="eastAsia" w:ascii="Times New Roman" w:eastAsia="仿宋_GB2312"/>
          <w:b w:val="0"/>
          <w:sz w:val="30"/>
          <w:szCs w:val="30"/>
          <w:lang w:eastAsia="zh-CN"/>
        </w:rPr>
        <w:t>；</w:t>
      </w:r>
      <w:r>
        <w:rPr>
          <w:rFonts w:ascii="Times New Roman" w:eastAsia="仿宋_GB2312"/>
          <w:b w:val="0"/>
          <w:sz w:val="30"/>
          <w:szCs w:val="30"/>
        </w:rPr>
        <w:t>(16)加强畜禽养殖、水产养殖的管理力度，协助有关部门做好本街道畜禽养殖、水产养殖疫病防治工作以及污染防治、生猪屠宰监督管理工作。</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outlineLvl w:val="1"/>
        <w:rPr>
          <w:rFonts w:ascii="宋体" w:eastAsia="黑体"/>
          <w:sz w:val="30"/>
          <w:szCs w:val="30"/>
        </w:rPr>
      </w:pPr>
      <w:r>
        <w:rPr>
          <w:rFonts w:ascii="宋体" w:eastAsia="黑体"/>
          <w:b w:val="0"/>
          <w:sz w:val="30"/>
          <w:szCs w:val="30"/>
        </w:rPr>
        <w:t>二、机构设置</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天津市东丽区新立街乡村振兴服务中心内设1个职能部门；下辖0个预算单位。纳入天津市东丽区新立街乡村振兴服务中心2024年度部门决算编制范围的单位包括：</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1.​天津市东丽区新立街乡村振兴服务中心</w:t>
      </w:r>
    </w:p>
    <w:p>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部门（单位）：天津市东丽区新立街乡村振兴服务中心 </w:t>
            </w:r>
          </w:p>
        </w:tc>
        <w:tc>
          <w:tcPr>
            <w:tcW w:w="108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1,715,168.34</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25,559.88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155,257.92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64,691.24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1,118,771.30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350,888.00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1,715,168.34</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1,715,168.34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1,715,168.34</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1,715,168.34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部门（单位）：天津市东丽区新立街乡村振兴服务中心 </w:t>
            </w:r>
          </w:p>
        </w:tc>
        <w:tc>
          <w:tcPr>
            <w:tcW w:w="451"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1,715,168.34</w:t>
            </w:r>
          </w:p>
        </w:tc>
        <w:tc>
          <w:tcPr>
            <w:tcW w:w="446"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1,715,168.34</w:t>
            </w:r>
          </w:p>
        </w:tc>
        <w:tc>
          <w:tcPr>
            <w:tcW w:w="464"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25,559.88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25,559.88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25,559.88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25,559.88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2010699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其他财政事务支出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25,559.88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25,559.88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155,257.92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155,257.92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155,257.92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155,257.92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103,505.28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103,505.28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51,752.64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51,752.64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64,691.24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64,691.24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64,691.24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64,691.24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64,691.24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64,691.24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农林水支出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1,118,771.30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1,118,771.30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巩固脱贫攻坚成果衔接乡村振兴</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1,118,771.30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1,118,771.30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2130599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其他巩固脱贫攻坚成果衔接乡村振兴支出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1,118,771.30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1,118,771.30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350,888.00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350,888.00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350,888.00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350,888.00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350,888.00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350,888.00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部门（单位）：天津市东丽区新立街乡村振兴服务中心 </w:t>
            </w:r>
          </w:p>
        </w:tc>
        <w:tc>
          <w:tcPr>
            <w:tcW w:w="245"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1,715,168.34</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1,715,168.34</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1,715,168.34</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804206</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天津市东丽区新立街乡村振兴服务中心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1,715,168.34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1,715,168.34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1,715,168.34</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部门（单位）：天津市东丽区新立街乡村振兴服务中心 </w:t>
            </w:r>
          </w:p>
        </w:tc>
        <w:tc>
          <w:tcPr>
            <w:tcW w:w="56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1,715,168.34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1,715,168.34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25,559.88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25,559.88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25,559.88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25,559.88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2010699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其他财政事务支出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25,559.88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25,559.88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155,257.92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155,257.92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155,257.92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155,257.92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103,505.28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103,505.28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51,752.64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51,752.64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64,691.24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64,691.24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64,691.24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64,691.24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64,691.24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64,691.24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1,118,771.30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1,118,771.30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巩固脱贫攻坚成果衔接乡村振兴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1,118,771.30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1,118,771.30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其他巩固脱贫攻坚成果衔接乡村振兴支出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1,118,771.30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1,118,771.30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350,888.00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350,888.00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350,888.00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350,888.00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350,888.00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350,888.00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部门（单位）：天津市东丽区新立街乡村振兴服务中心 </w:t>
            </w:r>
          </w:p>
        </w:tc>
        <w:tc>
          <w:tcPr>
            <w:tcW w:w="70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1,715,168.34</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25,559.88</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25,559.88</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155,257.92</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155,257.92</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64,691.24</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64,691.24</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1,118,771.30</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1,118,771.30</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350,888.00</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350,888.00</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1,715,168.34</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1,715,168.34</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1,715,168.34</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1,715,168.34</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1,715,168.34</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1,715,168.34</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天津市东丽区新立街乡村振兴服务中心 </w:t>
            </w:r>
          </w:p>
        </w:tc>
        <w:tc>
          <w:tcPr>
            <w:tcW w:w="59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1,715,168.34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1,715,168.34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1,456,690.36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258,477.98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25,559.88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25,559.88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25,559.88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财政事务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25,559.88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25,559.88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25,559.88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2010699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其他财政事务支出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25,559.88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25,559.88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25,559.88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155,257.92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155,257.92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155,257.92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155,257.92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155,257.92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155,257.92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103,505.28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103,505.28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103,505.28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51,752.64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51,752.64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51,752.64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64,691.24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64,691.24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64,691.24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64,691.24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64,691.24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64,691.24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64,691.24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64,691.24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64,691.24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农林水支出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1,118,771.30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1,118,771.30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885,853.20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232,918.10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巩固脱贫攻坚成果衔接乡村振兴</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1,118,771.30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1,118,771.30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885,853.20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232,918.10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2130599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其他巩固脱贫攻坚成果衔接乡村振兴支出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1,118,771.30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1,118,771.30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885,853.20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232,918.10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350,888.00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350,888.00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350,888.00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350,888.00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350,888.00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350,888.00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350,888.00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350,888.00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350,888.00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部门（单位）：天津市东丽区新立街乡村振兴服务中心 </w:t>
            </w:r>
          </w:p>
        </w:tc>
        <w:tc>
          <w:tcPr>
            <w:tcW w:w="61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1,417,059.36</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258,477.98</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303,980.80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134,071.58</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172,161.60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359,551.20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103,505.28</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51,752.64</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64,691.24</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4,528.60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350,888.00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39,631.00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39,591.00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47,180.52</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25,559.88</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51,666.00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1,456,690.36</w:t>
            </w:r>
          </w:p>
        </w:tc>
        <w:tc>
          <w:tcPr>
            <w:tcW w:w="2710"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258,477.98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天津市东丽区新立街乡村振兴服务中心 </w:t>
            </w:r>
          </w:p>
        </w:tc>
        <w:tc>
          <w:tcPr>
            <w:tcW w:w="51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天津市东丽区新立街乡村振兴服务中心2024年政府性基金预算财政拨款收入支出决算表为空表。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天津市东丽区新立街乡村振兴服务中心 </w:t>
            </w:r>
          </w:p>
        </w:tc>
        <w:tc>
          <w:tcPr>
            <w:tcW w:w="512"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天津市东丽区新立街乡村振兴服务中心2024年国有资本经营预算财政拨款收入支出决算表为空表。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部门（单位）：天津市东丽区新立街乡村振兴服务中心 </w:t>
            </w:r>
          </w:p>
        </w:tc>
        <w:tc>
          <w:tcPr>
            <w:tcW w:w="214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天津市东丽区新立街乡村振兴服务中心2024年财政拨款“三公”经费支出决算表为空表。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部门（单位）：天津市东丽区新立街乡村振兴服务中心 </w:t>
            </w:r>
          </w:p>
        </w:tc>
        <w:tc>
          <w:tcPr>
            <w:tcW w:w="568"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pPr>
        <w:widowControl/>
        <w:spacing w:before="0" w:beforeLines="0" w:beforeAutospacing="0" w:after="0" w:afterLines="0" w:afterAutospacing="0" w:line="240" w:lineRule="auto"/>
        <w:ind w:firstLine="640" w:firstLineChars="200"/>
        <w:jc w:val="left"/>
        <w:rPr>
          <w:rFonts w:ascii="宋体" w:eastAsia="仿宋_GB2312"/>
          <w:sz w:val="32"/>
          <w:szCs w:val="32"/>
        </w:rPr>
      </w:pPr>
      <w:r>
        <w:rPr>
          <w:rFonts w:ascii="宋体" w:eastAsia="仿宋_GB2312"/>
          <w:b w:val="0"/>
          <w:sz w:val="32"/>
          <w:szCs w:val="32"/>
        </w:rPr>
        <w:t>天津市东丽区新立街乡村振兴服务中心2024年项目支出决算表为空表。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一、收入支出决算总体情况说明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天津市东丽区新立街乡村振兴服务中心2024年度收入、支出决算总计1,715,168.34元。与2023年度相比，收、支总计各增加1,715,168.34元，增长100.000%，主要原因是由于机构改革，该单位为2024年新成立单位。</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收入包括：一般公共预算财政拨款收入1,715,168.34元。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支出包括：一般公共服务支出25,559.88元、社会保障和就业支出155,257.92元、卫生健康支出64,691.24元、农林水支出1,118,771.30元、住房保障支出350,888.00元。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二、收入决算情况说明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天津市东丽区新立街乡村振兴服务中心2024年度本年收入合计1,715,168.34元，与2023年度相比增加1,715,168.34元，主要原因是由于机构改革，该单位为2024年新成立单位。其中：</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一般公共预算财政拨款收入1,715,168.34元，占100.000%。</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三、支出决算情况说明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天津市东丽区新立街乡村振兴服务中心2024年度本年支出合计1,715,168.34元，与2023年度相比增加1,715,168.34元，主要原因是由于机构改革，该单位为2024年新成立单位。其中：</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基本支出1,715,168.34元，占100.000%。</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四、财政拨款收支决算总体情况说明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乡村振兴服务中心2024年度财政拨款收入、支出决算总计1,715,168.34元。与2023年度相比，财政拨款收、支总计各增加1,715,168.34元，增长100.000%，主要原因是由于机构改革，该单位为2024年新成立单位。</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outlineLvl w:val="1"/>
        <w:rPr>
          <w:rFonts w:ascii="Times New Roman" w:eastAsia="仿宋_GB2312"/>
          <w:sz w:val="30"/>
          <w:szCs w:val="30"/>
        </w:rPr>
      </w:pPr>
      <w:r>
        <w:rPr>
          <w:rFonts w:ascii="Times New Roman" w:eastAsia="仿宋_GB2312"/>
          <w:b w:val="0"/>
          <w:sz w:val="30"/>
          <w:szCs w:val="30"/>
        </w:rPr>
        <w:t>收入包括：一般公共预算财政拨款1,715,168.34元。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支出包括：一般公共服务支出25,559.88元、社会保障和就业支出155,257.92元、卫生健康支出64,691.24元、农林水支出1,118,771.30元、住房保障支出350,888.00元。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（一）总体情况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乡村振兴服务中心2024年度部门决算一般公共预算财政拨款支出合计1,715,168.34元，占本年支出合计的100.000%。与2023年度相比，一般公共预算财政拨款支出增加1,715,168.34元，增长100.000%，主要原因是该单位为新成立单位。</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（二）支出结构情况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度一般公共预算财政拨款支出1,715,168.34元，主要用于以下方面：一般公共服务支出（类）25,559.88元，占1.490%；社会保障和就业支出（类）155,257.92元，占9.052%；卫生健康支出（类）64,691.24元，占3.772%；农林水支出（类）1,118,771.30元，占65.228%；住房保障支出（类）350,888.00元，占20.458%。</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（三）具体情况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2024年度一般公共预算财政拨款支出年初预算为0.00元，支出决算为1,715,168.34元，完成年初预算的0.000%。其中： </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1.​一般公共服务支出(类)财政事务(款)其他财政事务支出(项)年初预算为0.00元，支出决算为25,559.88元，决算数大于年初预算数的主要原因是：由于机构改革，该单位为2024年新成立单位，下半年才调整预算。</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社会保障和就业支出(类)行政事业单位养老支出(款)机关事业单位基本养老保险缴费支出(项)年初预算为0.00元，支出决算为103,505.28元，决算数大于年初预算数的主要原因是：由于机构改革，该单位为2024年新成立单位，下半年才调整预算。</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3.​社会保障和就业支出(类)行政事业单位养老支出(款)机关事业单位职业年金缴费支出(项)年初预算为0.00元，支出决算为51,752.64元，决算数大于年初预算数的主要原因是：该由于机构改革，该单位为2024年新成立单位，下半年才调整预算。</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4.​卫生健康支出(类)行政事业单位医疗(款)事业单位医疗(项)年初预算为0.00元，支出决算为64,691.24元，决算数大于年初预算数的主要原因是：由于机构改革，该单位为2024年新成立单位，下半年才调整预算。</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5.​农林水支出(类)巩固脱贫攻坚成果衔接乡村振兴(款)其他巩固脱贫攻坚成果衔接乡村振兴支出(项)年初预算为0.00元，支出决算为1,118,771.30元，决算数大于年初预算数的主要原因是：由于机构改革，该单位为2024年新成立单位，下半年才调整预算。</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6.​住房保障支出(类)住房改革支出(款)住房公积金(项)年初预算为0.00元，支出决算为350,888.00元，决算数大于年初预算数的主要原因是：由于机构改革，该单位为2024年新成立单位，下半年才调整预算。</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天津市东丽区新立街乡村振兴服务中心2024年度部门决算一般公共预算财政拨款基本支出合计1,715,168.34元，与2023年度相比增加1,715,168.34元，主要原因是由于机构改革，该单位为2024年新成立单位。其中：</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人员经费1,456,690.36元，主要包括基本工资、津贴补贴、绩效工资、机关事业单位基本养老保险缴费、职业年金缴费、职工基本医疗保险缴费、其他社会保障缴费、住房公积金、其他工资福利支出、退休费和奖励金。</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公用经费258,477.98元，主要包括办公费、工会经费、税金及附加费用和其他商品和服务支出。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七、政府性基金预算财政拨款收支决算情况说明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天津市东丽区新立街乡村振兴服务中心2024年度无政府性基金预算财政拨款收入、支出和结转结余。</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八、国有资本经营预算财政拨款收支决算情况说明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天津市东丽区新立街乡村振兴服务中心2024年度无国有资本经营预算财政拨款收入、支出和结转结余。</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九、财政拨款“三公”经费支出决算情况说明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（一）总体情况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未用财政拨款列支“三公”经费；决算数较上年持平的主要原因是本年未用财政拨款列支“三公”经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（二）具体情况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2024年本单位组织的出国团组0个，出国0人次。</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主要原因是本年未用财政拨款列支公务用车购置及运行维护费。其中：</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主要原因是本年未用财政拨款列支公务用车运行维护费；决算数较上年持平的主要原因是主要原因是本年未用财政拨款列支公务用车运行维护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主要原因是​本年未用财政拨款列支公务用车购置费；决算数较上年持平的主要原因是主要原因是本年未用财政拨款列支公务用车购置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2024年购置公务用车0辆。</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3.公务接待费预算0.00元，支出决算0.00元，与预算相比持平；支出决算较上年持平；决算数与预算数持平的主要原因是主要原因是​本年未用财政拨款列支公务接待费；决算数较上年持平的主要原因是主要原因是</w:t>
      </w:r>
      <w:bookmarkStart w:id="0" w:name="_GoBack"/>
      <w:bookmarkEnd w:id="0"/>
      <w:r>
        <w:rPr>
          <w:rFonts w:ascii="Times New Roman" w:eastAsia="仿宋_GB2312"/>
          <w:b w:val="0"/>
          <w:sz w:val="30"/>
          <w:szCs w:val="30"/>
        </w:rPr>
        <w:t>本年未用财政拨款列支公务接待费​。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十、机关运行经费支出情况说明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天津市东丽区新立街乡村振兴服务中心2024年度无机关运行经费。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十一、政府采购支出情况说明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天津市东丽区新立街乡村振兴服务中心2024年度无政府采购支出。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十二、国有资产占有使用情况说明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天津市东丽区新立街乡村振兴服务中心2024年度无国有资产占有使用情况。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十三、预算绩效情况说明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天津市东丽区新立街乡村振兴服务中心2024年度没有项目支出，无需开展绩效自评。</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天津市东丽区新立街乡村振兴服务中心2024年度不涉及公开教育、医疗卫生、社会保障和就业、住房保障、涉农补贴等民生支出情况。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jc w:val="center"/>
        <w:textAlignment w:val="auto"/>
        <w:outlineLvl w:val="0"/>
        <w:rPr>
          <w:rFonts w:ascii="黑体" w:eastAsia="黑体"/>
          <w:sz w:val="44"/>
          <w:szCs w:val="44"/>
        </w:rPr>
      </w:pPr>
      <w:r>
        <w:rPr>
          <w:rFonts w:ascii="黑体" w:eastAsia="黑体"/>
          <w:b w:val="0"/>
          <w:sz w:val="44"/>
          <w:szCs w:val="44"/>
        </w:rPr>
        <w:t>第四部分 名词解释</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jc w:val="both"/>
        <w:textAlignment w:val="auto"/>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8D00F53-60BB-401C-A4D9-E1CDA3F10AC5}"/>
  </w:font>
  <w:font w:name="黑体">
    <w:panose1 w:val="02010609060101010101"/>
    <w:charset w:val="86"/>
    <w:family w:val="auto"/>
    <w:pitch w:val="default"/>
    <w:sig w:usb0="800002BF" w:usb1="38CF7CFA" w:usb2="00000016" w:usb3="00000000" w:csb0="00040001" w:csb1="00000000"/>
    <w:embedRegular r:id="rId2" w:fontKey="{FD8568A7-BE3C-4248-AFE3-6E67DC8AD2A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51416B2B-4583-416A-913F-574D8FC87C93}"/>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Fz_S_BiaoSong_Jt">
    <w:altName w:val="Segoe Print"/>
    <w:panose1 w:val="00000000000000000000"/>
    <w:charset w:val="00"/>
    <w:family w:val="auto"/>
    <w:pitch w:val="default"/>
    <w:sig w:usb0="00000000" w:usb1="00000000" w:usb2="00000000" w:usb3="00000000" w:csb0="00000000" w:csb1="00000000"/>
    <w:embedRegular r:id="rId4" w:fontKey="{222DCD39-DAE0-4ED1-926A-0EEE40AA1ED0}"/>
  </w:font>
  <w:font w:name="仿宋_GB2312">
    <w:altName w:val="仿宋"/>
    <w:panose1 w:val="00000000000000000000"/>
    <w:charset w:val="00"/>
    <w:family w:val="auto"/>
    <w:pitch w:val="default"/>
    <w:sig w:usb0="00000000" w:usb1="00000000" w:usb2="00000000" w:usb3="00000000" w:csb0="00000000" w:csb1="00000000"/>
    <w:embedRegular r:id="rId5" w:fontKey="{BE8824A5-15B5-422F-8326-BAC07F750AF1}"/>
  </w:font>
  <w:font w:name="宋体-简">
    <w:altName w:val="宋体"/>
    <w:panose1 w:val="02010800040101010101"/>
    <w:charset w:val="86"/>
    <w:family w:val="auto"/>
    <w:pitch w:val="default"/>
    <w:sig w:usb0="00000000" w:usb1="00000000" w:usb2="00000000" w:usb3="00000000" w:csb0="00040000" w:csb1="00000000"/>
    <w:embedRegular r:id="rId6" w:fontKey="{4185E80A-5E8B-457D-A64A-4E815DDF3351}"/>
  </w:font>
  <w:font w:name="楷体">
    <w:panose1 w:val="02010609060101010101"/>
    <w:charset w:val="86"/>
    <w:family w:val="auto"/>
    <w:pitch w:val="default"/>
    <w:sig w:usb0="800002BF" w:usb1="38CF7CFA" w:usb2="00000016" w:usb3="00000000" w:csb0="00040001" w:csb1="00000000"/>
    <w:embedRegular r:id="rId7" w:fontKey="{34C4D4D7-5F1C-4C2D-8339-4AF75B15BB9C}"/>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zEsImhkaWQiOiJjYmYwYTI1YzNlMzEyYTY1OWJhZjhjZTVmYjc3MTU5YyIsInVzZXJDb3VudCI6Mn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2E32FE8"/>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8F175D"/>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15</TotalTime>
  <ScaleCrop>false</ScaleCrop>
  <LinksUpToDate>false</LinksUpToDate>
  <CharactersWithSpaces>893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Administrator</cp:lastModifiedBy>
  <cp:lastPrinted>2023-08-07T01:00:00Z</cp:lastPrinted>
  <dcterms:modified xsi:type="dcterms:W3CDTF">2025-09-22T07:19:48Z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