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天津市东丽区医疗保障局</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区医疗保障局贯彻落实党中央关于医疗保障工作的方针政策，市委和区委关于医疗保障工作的决策部署，在履行职责过程中坚持和加强党对医疗保障工作的集中统一领导。主要职责是：</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（一）贯彻执行国家和本市医疗保险、生育保险、医疗救助等医疗保障相关的法律法规、政策和规划，并做好宣传培训工作。</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（二）负责在定点申请、专业评估、协商谈判、协议订立、协议履行、协议解除等环节对辖区医保分中心、定点医疗机构和定点零售药店进行监督。</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（三）负责本行政区域的医疗保障基金使用监督管理工作。（四）负责辖区医疗保障领域参保扩面工作。</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（五）推动区属定点医疗机构开展医保支付方式改革。</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（六）监督管理辖区内的医药机构和纳入医保范围内的服务行为和医疗费用，依法查处医疗保障领域违法违规行为，贯彻执行医保政策。</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（七）负责本辖区职工医保缴费年限核定的监督管理工作。</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（八）统筹本辖区医疗救助管理工作，负责本辖区内医疗救助监督检查等行政执法工作。</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（九）负责辖区内医药价格监测和管理工作。</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（十）负责受理辖区内医疗保障信访、举报、投诉等工作。</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（十一）负责本领域安全生产管理工作。</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（十二）负责本领域人才队伍建设。</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（十三）组织推动本领域招商引资工作。</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（十四）承办区委、区政府交办的其他事项。</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五）职能转变。区医疗保障局落实统一的城乡居民基本医疗保险制度和大病保险制度，不断提高医疗保障水平，确保医保资金合理使用、安全可控，推进医疗、医保、医药“三医联动”改革，更好保障人民群众就医需求、减轻医药费用负担。</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六）有关职责分工。与区卫生健康委员会的有关职责分工。区卫生健康委员会、区医疗保障局等部门在医疗、医保、医药等方面加强制度、政策衔接，建立沟通协商机制，协同推进改革，提高医疗资源使用效率和医疗保障水平。</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天津市东丽区医疗保障局内设1个职能部门；下辖</w:t>
      </w:r>
      <w:r>
        <w:rPr>
          <w:rFonts w:hint="default" w:ascii="Times New Roman" w:eastAsia="仿宋_GB2312"/>
          <w:b w:val="0"/>
          <w:sz w:val="30"/>
          <w:szCs w:val="30"/>
          <w:lang w:val="en"/>
        </w:rPr>
        <w:t>1</w:t>
      </w:r>
      <w:r>
        <w:rPr>
          <w:rFonts w:ascii="Times New Roman" w:eastAsia="仿宋_GB2312"/>
          <w:b w:val="0"/>
          <w:sz w:val="30"/>
          <w:szCs w:val="30"/>
        </w:rPr>
        <w:t>个预算单位。纳入天津市东丽区医疗保障局2024年度部门决算编制范围的单位包括：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numPr>
          <w:ilvl w:val="0"/>
          <w:numId w:val="2"/>
        </w:numPr>
        <w:spacing w:before="0" w:beforeLines="0" w:beforeAutospacing="0" w:after="0" w:afterLines="0" w:afterAutospacing="0" w:line="240" w:lineRule="auto"/>
        <w:ind w:firstLine="600" w:firstLineChars="200"/>
        <w:jc w:val="left"/>
        <w:rPr>
          <w:rFonts w:hint="eastAsia" w:ascii="Times New Roman" w:eastAsia="仿宋_GB2312" w:cs="宋体"/>
          <w:b w:val="0"/>
          <w:sz w:val="30"/>
          <w:szCs w:val="30"/>
          <w:lang w:val="en" w:eastAsia="zh-CN"/>
        </w:rPr>
      </w:pPr>
      <w:bookmarkStart w:id="0" w:name="_GoBack"/>
      <w:bookmarkEnd w:id="0"/>
      <w:r>
        <w:rPr>
          <w:rFonts w:hint="eastAsia" w:ascii="Times New Roman" w:eastAsia="仿宋_GB2312" w:cs="宋体"/>
          <w:b w:val="0"/>
          <w:sz w:val="30"/>
          <w:szCs w:val="30"/>
          <w:lang w:val="en" w:eastAsia="zh-CN"/>
        </w:rPr>
        <w:t>天津市东丽区医疗保障局（本级）</w:t>
      </w:r>
    </w:p>
    <w:p>
      <w:pPr>
        <w:widowControl/>
        <w:numPr>
          <w:numId w:val="0"/>
        </w:numPr>
        <w:spacing w:before="0" w:beforeLines="0" w:beforeAutospacing="0" w:after="0" w:afterLines="0" w:afterAutospacing="0" w:line="240" w:lineRule="auto"/>
        <w:jc w:val="left"/>
        <w:rPr>
          <w:rFonts w:hint="default" w:ascii="Times New Roman" w:eastAsia="仿宋_GB2312" w:cs="宋体"/>
          <w:b w:val="0"/>
          <w:sz w:val="30"/>
          <w:szCs w:val="30"/>
          <w:lang w:val="en" w:eastAsia="zh-CN"/>
        </w:rPr>
      </w:pPr>
    </w:p>
    <w:p>
      <w:pPr>
        <w:widowControl/>
        <w:numPr>
          <w:numId w:val="0"/>
        </w:numPr>
        <w:spacing w:before="0" w:beforeLines="0" w:beforeAutospacing="0" w:after="0" w:afterLines="0" w:afterAutospacing="0" w:line="240" w:lineRule="auto"/>
        <w:ind w:firstLine="600" w:firstLineChars="200"/>
        <w:jc w:val="left"/>
        <w:rPr>
          <w:rFonts w:hint="default" w:ascii="Times New Roman" w:eastAsia="仿宋_GB2312" w:cs="宋体"/>
          <w:b w:val="0"/>
          <w:sz w:val="30"/>
          <w:szCs w:val="30"/>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Times New Roman" w:eastAsia="仿宋_GB2312" w:cs="宋体"/>
          <w:b w:val="0"/>
          <w:sz w:val="30"/>
          <w:szCs w:val="30"/>
          <w:lang w:val="en-US" w:eastAsia="zh-CN"/>
        </w:rPr>
        <w:t>2.天津市东丽区医疗保障服务中心</w:t>
      </w: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部门（单位）：天津市东丽区医疗保障局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3,949,702.97</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393,905.04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2,727,021.93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70.15</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828,776.00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3,949,773.12</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3,949,702.97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3,949,773.12</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3,949,773.12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部门（单位）：天津市东丽区医疗保障局 </w:t>
            </w:r>
          </w:p>
        </w:tc>
        <w:tc>
          <w:tcPr>
            <w:tcW w:w="44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3,949,773.12</w:t>
            </w:r>
          </w:p>
        </w:tc>
        <w:tc>
          <w:tcPr>
            <w:tcW w:w="40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3,949,702.97</w:t>
            </w:r>
          </w:p>
        </w:tc>
        <w:tc>
          <w:tcPr>
            <w:tcW w:w="43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393,905.04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393,905.04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393,905.04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393,905.04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262,603.36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262,603.36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131,301.68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131,301.68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2,727,092.08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2,727,021.93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193,248.39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193,248.39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145,601.76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145,601.76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18,526.47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18,526.47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29,120.16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29,120.16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医疗保障管理事务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2,533,843.69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2,533,773.54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2101501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1,910,859.73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1,910,793.96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2101502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24,792.00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24,792.00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2101550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218,191.96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218,187.58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其他医疗保障管理事务支出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828,776.00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828,776.00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828,776.00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828,776.00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828,776.00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828,776.00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部门（单位）：天津市东丽区医疗保障局 </w:t>
            </w:r>
          </w:p>
        </w:tc>
        <w:tc>
          <w:tcPr>
            <w:tcW w:w="23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3,949,773.12</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3,949,773.12</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3,949,702.97</w:t>
            </w:r>
          </w:p>
        </w:tc>
        <w:tc>
          <w:tcPr>
            <w:tcW w:w="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70.15</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382101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天津市东丽区医疗保障局（本级）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3,576,291.57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3,576,291.57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3,576,225.80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65.77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382201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天津市东丽区医疗保障服务中心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373,481.55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373,481.55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373,477.17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4.38</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部门（单位）：天津市东丽区医疗保障局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3,949,702.97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3,544,910.97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393,905.04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393,905.04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393,905.04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393,905.04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262,603.36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262,603.36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131,301.68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131,301.68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2,727,021.93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2,322,229.93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193,248.39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193,248.39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145,601.76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145,601.76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18,526.47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18,526.47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29,120.16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29,120.16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医疗保障管理事务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2,533,773.54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2,128,981.54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1,910,793.96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1,910,793.96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24,792.00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24,792.00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218,187.58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218,187.58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其他医疗保障管理事务支出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828,776.00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828,776.00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828,776.00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828,776.00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828,776.00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828,776.00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部门（单位）：天津市东丽区医疗保障局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3,949,702.97</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393,905.04</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393,905.04</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2,727,021.93</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2,727,021.93</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828,776.00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828,776.00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3,949,702.97</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3,949,702.97</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3,949,702.97</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3,949,702.97</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3,949,702.97</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3,949,702.97</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天津市东丽区医疗保障局 </w:t>
            </w:r>
          </w:p>
        </w:tc>
        <w:tc>
          <w:tcPr>
            <w:tcW w:w="576"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3,949,702.97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3,544,910.97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3,272,867.47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272,043.50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404,792.00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393,905.04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393,905.04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393,905.04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393,905.04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393,905.04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393,905.04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262,603.36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262,603.36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262,603.36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131,301.68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131,301.68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131,301.68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2,727,021.93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2,322,229.93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2,050,186.43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272,043.50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404,792.00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193,248.39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193,248.39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193,248.39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145,601.76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145,601.76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145,601.76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18,526.47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18,526.47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18,526.47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29,120.16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29,120.16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29,120.16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医疗保障管理事务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2,533,773.54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2,128,981.54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1,856,938.04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272,043.50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404,792.00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2101501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1,910,793.96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1,910,793.96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1,653,365.94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257,428.02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2101502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24,792.00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24,792.00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2101550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218,187.58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218,187.58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203,572.10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14,615.48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其他医疗保障管理事务支出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828,776.00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828,776.00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828,776.00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828,776.00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828,776.00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828,776.00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828,776.00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828,776.00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828,776.00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部门（单位）：天津市东丽区医疗保障局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3,253,007.23</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272,043.50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622,100.00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21,195.11</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663,377.80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456,974.00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624.48</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90,417.00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1,336.16</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262,603.36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13,783.71</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131,301.68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164,128.23</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13,659.28</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29,120.16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4,209.00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1,262.00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828,776.00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19,860.24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16,770.24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22,508.64</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14,220.00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107,550.00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13,794.12</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3,272,867.47</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272,043.50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天津市东丽区医疗保障局 </w:t>
            </w:r>
          </w:p>
        </w:tc>
        <w:tc>
          <w:tcPr>
            <w:tcW w:w="54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天津市东丽区医疗保障局2024年政府性基金预算财政拨款收入支出决算表为空表。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天津市东丽区医疗保障局 </w:t>
            </w:r>
          </w:p>
        </w:tc>
        <w:tc>
          <w:tcPr>
            <w:tcW w:w="55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天津市东丽区医疗保障局2024年国有资本经营预算财政拨款收入支出决算表为空表。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部门（单位）：天津市东丽区医疗保障局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天津市东丽区医疗保障局2024年财政拨款“三公”经费支出决算表为空表。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部门（单位）：天津市东丽区医疗保障局 </w:t>
            </w:r>
          </w:p>
        </w:tc>
        <w:tc>
          <w:tcPr>
            <w:tcW w:w="58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医疗保障管理事务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404,792.00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24,792.00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24,792.00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2101599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其他医疗保障管理事务支出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天津市东丽区医疗保障局2024年度收入、支出决算总计3,949,773.12元。与2023年度相比，收、支总计各减少990,029.95元，下降20.042%，主要原因是项目资金减少，公用经费预算减少。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收入包括：一般公共预算财政拨款收入3,949,702.97元、其他收入70.15元。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支出包括：社会保障和就业支出393,905.04元、卫生健康支出2,727,021.93元、住房保障支出828,776.00元。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天津市东丽区医疗保障局2024年度本年收入合计3,949,773.12元，与2023年度相比减少979,857.93元，主要原因是项目资金减少，公用经费预算减少。其中：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一般公共预算财政拨款收入3,949,702.97元，占99.998%；其他收入70.15元，占0.002%。</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天津市东丽区医疗保障局2024年度本年支出合计3,949,702.97元，与2023年度相比减少979,928.08元，主要原因是项目资金减少，公用经费预算减少。其中：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基本支出3,544,910.97元，占89.751%；项目支出404,792.00元，占10.249%。</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天津市东丽区医疗保障局2024年度财政拨款收入、支出决算总计3,949,702.97元。与2023年度相比，财政拨款收、支总计各减少989,045.83元，下降20.026%，主要原因是项目资金减少，公用经费预算减少。</w:t>
      </w:r>
    </w:p>
    <w:p>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收入包括：一般公共预算财政拨款3,949,702.97元。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支出包括：社会保障和就业支出393,905.04元、卫生健康支出2,727,021.93元、住房保障支出828,776.00元。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2024年度部门决算一般公共预算财政拨款支出合计3,949,702.97元，占本年支出合计的100.000%。与2023年度相比，一般公共预算财政拨款支出减少979,928.08元，下降19.878%，主要原因是项目资金减少，公用经费预算减少。</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2024年度一般公共预算财政拨款支出3,949,702.97元，主要用于以下方面：社会保障和就业支出（类）393,905.04元，占9.973%；卫生健康支出（类）2,727,021.93元，占69.044%；住房保障支出（类）828,776.00元，占20.983%。</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2024年度一般公共预算财政拨款支出年初预算为91,599,000.00元，支出决算为3,949,702.97元，完成年初预算的4.312%。其中： </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229,900.00元，支出决算为262,603.36元，完成年初预算的114.225%，决算数大于年初预算数的主要原因是：在职人员工资滚动，保险基数调整；新成立一个下辖预算单位。</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115,000.00元，支出决算为131,301.68元，完成年初预算的114.175%，决算数大于年初预算数的主要原因是：​​​在职人员工资滚动，保险基数调整；新成立一个下辖预算单位​。</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卫生健康支出(类)行政事业单位医疗(款)行政单位医疗(项)年初预算为143,700.00元，支出决算为145,601.76元，完成年初预算的101.323%，决算数大于年初预算数的主要原因是：​​​在职人员工资滚动，保险基数调整；新成立一个下辖预算单位​。</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4.​卫生健康支出(类)行政事业单位医疗(款)事业单位医疗(项)年初预算为0.00元，支出决算为18,526.47元，决算数大于年初预算数的主要原因是：新成立一个下辖预算单位​。</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行政事业单位医疗(款)公务员医疗补助(项)年初预算为28,700.00元，支出决算为29,120.16元，完成年初预算的101.464%，决算数大于年初预算数的主要原因是：​​​在职人员工资滚动，保险基数调整。</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卫生健康支出(类)财政对基本医疗保险基金的补助(款)财政对城乡居民基本医疗保险基金的补助(项)年初预算为83,430,000.00元，支出决算为0.00元，完成年初预算的0.000%，决算数小于年初预算数的主要原因是：本年度本单位支出科目调整。</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7.​卫生健康支出(类)医疗救助(款)城乡医疗救助(项)年初预算为5,040,000.00元，支出决算为0.00元，完成年初预算的0.000%，决算数小于年初预算数的主要原因是：本年度本单位支出科目调整。</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卫生健康支出(类)医疗保障管理事务(款)行政运行(项)年初预算为1,842,200.00元，支出决算为1,910,793.96元，完成年初预算的103.723%，决算数大于年初预算数的主要原因是：业务调整需要，年中追加项目支出预算列支单位人员、公用经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卫生健康支出(类)医疗保障管理事务(款)一般行政管理事务(项)年初预算为24,800.00元，支出决算为24,792.00元，完成年初预算的99.968%，决算数小于年初预算数的主要原因是：相应节约号召，按实际列支医疗服务与保障能力提升项目经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10.​卫生健康支出(类)医疗保障管理事务(款)事业运行(项)年初预算为0.00元，支出决算为218,187.58元，决算数大于年初预算数的主要原因是：新成立一个预算单位。</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卫生健康支出(类)医疗保障管理事务(款)其他医疗保障管理事务支出(项)年初预算为0.00元，支出决算为380,000.00元，决算数大于年初预算数的主要原因是：业务调整需要，年中追加项目预算列支医疗服务与保障能力提升补助资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12.​住房保障支出(类)住房改革支出(款)住房公积金(项)年初预算为744,700.00元，支出决算为828,776.00元，完成年初预算的111.290%，决算数大于年初预算数的主要原因是：公积金基数调整；新成立一个下辖预算单位。</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天津市东丽区医疗保障局2024年度部门决算一般公共预算财政拨款基本支出合计3,544,910.97元，与2023年度相比增加245,046.27元，主要原因是新成立一个下辖预算单位。其中：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3,272,867.47元，主要包括基本工资、津贴补贴、奖金、绩效工资、机关事业单位基本养老保险缴费、职业年金缴费、职工基本医疗保险缴费、公务员医疗补助缴费、其他社会保障缴费、住房公积金、退休费、奖励金和其他对个人和家庭的补助。</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公用经费272,043.50元，主要包括办公费、手续费、水费、电费、邮电费、取暖费、差旅费、培训费、委托业务费、工会经费、福利费、其他交通费用、税金及附加费用和其他商品和服务支出。</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天津市东丽区医疗保障局2024年度无政府性基金预算财政拨款收入、支出和结转结余。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天津市东丽区医疗保障局2024年度无国有资本经营预算财政拨款收入、支出和结转结余。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医疗保障局2024年度机关运行经费年初预算270,283.91元，决算数257,428.02元，与年初预算相比减少12,855.89元，完成年初预算的95.244%；比2023年减少12,855.89元，下降4.756%。主要原因是：人员调动，公用经费预算减少 。</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天津市东丽区医疗保障局2024年度无政府采购支出。</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天津市东丽区医疗保障局2024年度无国有资产占有使用情况。</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根据预算绩效管理要求，天津市东丽区医疗保障局已对4个2024年度项目开展绩效自评，涉及金额404,792.00元，自评结果已随部门决算一并公开。本部门2024年度未开展部门评价。</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天津市东丽区医疗保障局2024年度不涉及公开教育、医疗卫生、社会保障和就业、住房保障、涉农补贴等民生支出情况。</w:t>
      </w: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auto"/>
    <w:pitch w:val="default"/>
    <w:sig w:usb0="00000000" w:usb1="00000000" w:usb2="00000000" w:usb3="00000000" w:csb0="2000019F" w:csb1="00000000"/>
  </w:font>
  <w:font w:name="华文中宋">
    <w:altName w:val="汉仪中宋简"/>
    <w:panose1 w:val="02010600040101010101"/>
    <w:charset w:val="86"/>
    <w:family w:val="auto"/>
    <w:pitch w:val="default"/>
    <w:sig w:usb0="00000000" w:usb1="00000000" w:usb2="00000000" w:usb3="00000000" w:csb0="0004009F" w:csb1="DFD70000"/>
  </w:font>
  <w:font w:name="helvetica">
    <w:altName w:val="汉仪中秀体简"/>
    <w:panose1 w:val="00000000000000000000"/>
    <w:charset w:val="00"/>
    <w:family w:val="auto"/>
    <w:pitch w:val="default"/>
    <w:sig w:usb0="00000000" w:usb1="00000000" w:usb2="00000000" w:usb3="00000000" w:csb0="2000019F" w:csb1="4F010000"/>
  </w:font>
  <w:font w:name="Fz_S_BiaoSong_Jt">
    <w:altName w:val="汉仪仿宋S"/>
    <w:panose1 w:val="00000000000000000000"/>
    <w:charset w:val="00"/>
    <w:family w:val="auto"/>
    <w:pitch w:val="default"/>
    <w:sig w:usb0="00000000" w:usb1="00000000" w:usb2="00000000" w:usb3="00000000" w:csb0="00000000" w:csb1="00000000"/>
  </w:font>
  <w:font w:name="宋体-简">
    <w:altName w:val="方正书宋_GBK"/>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汉仪中宋简">
    <w:panose1 w:val="02010600000101010101"/>
    <w:charset w:val="86"/>
    <w:family w:val="auto"/>
    <w:pitch w:val="default"/>
    <w:sig w:usb0="00000001" w:usb1="080E0800" w:usb2="00000002" w:usb3="00000000" w:csb0="00040000" w:csb1="00000000"/>
  </w:font>
  <w:font w:name="汉仪中秀体简">
    <w:panose1 w:val="00020600040101010101"/>
    <w:charset w:val="86"/>
    <w:family w:val="auto"/>
    <w:pitch w:val="default"/>
    <w:sig w:usb0="A00002BF" w:usb1="1A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5FBB737A"/>
    <w:multiLevelType w:val="singleLevel"/>
    <w:tmpl w:val="5FBB737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false"/>
  <w:bordersDoNotSurroundFooter w:val="false"/>
  <w:documentProtection w:enforcement="0"/>
  <w:defaultTabStop w:val="420"/>
  <w:drawingGridVerticalSpacing w:val="16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3B6F3E"/>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EF7ADB2"/>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34</Pages>
  <Words>5427</Words>
  <Characters>8277</Characters>
  <Lines>86</Lines>
  <Paragraphs>24</Paragraphs>
  <TotalTime>9</TotalTime>
  <ScaleCrop>false</ScaleCrop>
  <LinksUpToDate>false</LinksUpToDate>
  <CharactersWithSpaces>8550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2023-08-07T15:55:00Z</dcterms:created>
  <dc:creator>王明新TIAD</dc:creator>
  <cp:lastModifiedBy>greatwall</cp:lastModifiedBy>
  <cp:lastPrinted>2023-08-07T09:00:00Z</cp:lastPrinted>
  <dcterms:modified xsi:type="dcterms:W3CDTF">2025-09-23T16:51:38Z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144D97F007FC43D3A20CA4CC1CDEDD40_13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