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137CC61C">
      <w:pPr>
        <w:spacing w:line="600" w:lineRule="auto"/>
        <w:jc w:val="both"/>
        <w:rPr>
          <w:rFonts w:hint="eastAsia" w:asciiTheme="minorEastAsia" w:hAnsiTheme="minorEastAsia" w:eastAsiaTheme="minorEastAsia" w:cstheme="minorEastAsia"/>
          <w:b w:val="false"/>
          <w:bCs w:val="false"/>
          <w:color w:val="000000"/>
          <w:sz w:val="22"/>
          <w:szCs w:val="22"/>
        </w:rPr>
      </w:pPr>
    </w:p>
    <w:p w14:paraId="7898C273">
      <w:pPr>
        <w:spacing w:line="600" w:lineRule="auto"/>
        <w:jc w:val="both"/>
        <w:rPr>
          <w:rFonts w:hint="eastAsia" w:asciiTheme="minorEastAsia" w:hAnsiTheme="minorEastAsia" w:eastAsiaTheme="minorEastAsia" w:cstheme="minorEastAsia"/>
          <w:b w:val="false"/>
          <w:bCs w:val="false"/>
          <w:color w:val="000000"/>
          <w:sz w:val="22"/>
          <w:szCs w:val="22"/>
        </w:rPr>
      </w:pPr>
    </w:p>
    <w:p w14:paraId="681CA751">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天津市东丽区机关事务服务中心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E8343E3">
      <w:pPr>
        <w:spacing w:line="600" w:lineRule="auto"/>
        <w:jc w:val="both"/>
        <w:rPr>
          <w:rFonts w:hint="eastAsia" w:asciiTheme="minorEastAsia" w:hAnsiTheme="minorEastAsia" w:eastAsiaTheme="minorEastAsia" w:cstheme="minorEastAsia"/>
          <w:b w:val="false"/>
          <w:bCs w:val="false"/>
          <w:color w:val="000000"/>
          <w:sz w:val="22"/>
          <w:szCs w:val="22"/>
        </w:rPr>
      </w:pPr>
    </w:p>
    <w:p w14:paraId="780B717B">
      <w:pPr>
        <w:spacing w:line="600" w:lineRule="auto"/>
        <w:jc w:val="both"/>
        <w:rPr>
          <w:rFonts w:hint="eastAsia" w:asciiTheme="minorEastAsia" w:hAnsiTheme="minorEastAsia" w:eastAsiaTheme="minorEastAsia" w:cstheme="minorEastAsia"/>
          <w:b w:val="false"/>
          <w:bCs w:val="false"/>
          <w:color w:val="000000"/>
          <w:sz w:val="22"/>
          <w:szCs w:val="22"/>
        </w:rPr>
      </w:pPr>
    </w:p>
    <w:p w14:paraId="2AFBAD51">
      <w:pPr>
        <w:spacing w:line="600" w:lineRule="auto"/>
        <w:jc w:val="both"/>
        <w:rPr>
          <w:rFonts w:hint="eastAsia" w:asciiTheme="minorEastAsia" w:hAnsiTheme="minorEastAsia" w:eastAsiaTheme="minorEastAsia" w:cstheme="minorEastAsia"/>
          <w:b w:val="false"/>
          <w:bCs w:val="false"/>
          <w:color w:val="000000"/>
          <w:sz w:val="22"/>
          <w:szCs w:val="22"/>
        </w:rPr>
      </w:pPr>
    </w:p>
    <w:p w14:paraId="77694AE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DCF2C9">
      <w:pPr>
        <w:rPr>
          <w:rFonts w:hint="eastAsia" w:asciiTheme="minorEastAsia" w:hAnsiTheme="minorEastAsia" w:eastAsiaTheme="minorEastAsia" w:cstheme="minorEastAsia"/>
          <w:b w:val="false"/>
          <w:bCs w:val="false"/>
          <w:sz w:val="22"/>
          <w:szCs w:val="22"/>
          <w:highlight w:val="yellow"/>
        </w:rPr>
      </w:pPr>
    </w:p>
    <w:p w14:paraId="5C75F115">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63AA7961">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（1）负责区级机关的机关事务相关服务保障工作。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（2）负责区级机关集中办公区后勤综合服务保障和安全保卫等工作，统筹区级机关物业监管工作。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（3）落实区级机关公务用车配备使用管理办法和规章制度，负责区公务用车服务平台车辆的正常使用和调度工作。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（4）承担有关会议服务保障、公务接待等工作。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（5）承担区级机关办公用房集中统一管理有关事务性工。</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（6）推进全区公共机构节能和垃圾分类工作。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（7）负责区级有关部门财务管理服务等事务性工作。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1CC64F29">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内设</w:t>
      </w:r>
      <w:r>
        <w:rPr>
          <w:rFonts w:ascii="Times New Roman" w:eastAsia="仿宋_GB2312"/>
          <w:b w:val="false"/>
          <w:sz w:val="30"/>
          <w:szCs w:val="30"/>
        </w:rPr>
        <w:t>4</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天津市东丽区机关事务服务中心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天津市东丽区机关事务服务中心</w:t>
      </w:r>
    </w:p>
    <w:p w14:paraId="3B0EA3E3">
      <w:pPr>
        <w:rPr>
          <w:rFonts w:hint="eastAsia" w:asciiTheme="minorEastAsia" w:hAnsiTheme="minorEastAsia" w:eastAsiaTheme="minorEastAsia" w:cstheme="minorEastAsia"/>
          <w:b w:val="false"/>
          <w:bCs w:val="false"/>
          <w:i w:val="false"/>
          <w:iCs w:val="false"/>
          <w:caps w:val="false"/>
          <w:color w:val="000000"/>
          <w:spacing w:val="0"/>
          <w:sz w:val="22"/>
          <w:szCs w:val="22"/>
          <w:highlight w:val="none"/>
          <w:shd w:val="clear" w:fill="FFFFFF"/>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61B831D0">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1087" w:type="pct"/>
            <w:tcBorders>
              <w:top w:val="nil"/>
              <w:left w:val="nil"/>
              <w:bottom w:val="nil"/>
              <w:right w:val="nil"/>
            </w:tcBorders>
            <w:shd w:val="clear" w:color="auto" w:fill="auto"/>
            <w:noWrap/>
            <w:vAlign w:val="bottom"/>
          </w:tcPr>
          <w:p w14:paraId="42CBBD39">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39,482,443.10</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458,876.16</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209,195.72</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170.15</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1,022,543.00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41,173,228.13</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170.15</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41,173,228.13</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41,173,228.13</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393FCCC9">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440" w:type="pct"/>
            <w:tcBorders>
              <w:top w:val="nil"/>
              <w:left w:val="nil"/>
              <w:bottom w:val="nil"/>
              <w:right w:val="nil"/>
            </w:tcBorders>
            <w:shd w:val="clear" w:color="auto" w:fill="auto"/>
            <w:noWrap/>
            <w:vAlign w:val="bottom"/>
          </w:tcPr>
          <w:p w14:paraId="05A18C42">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50" w:type="pct"/>
            <w:tcBorders>
              <w:top w:val="nil"/>
              <w:left w:val="nil"/>
              <w:bottom w:val="nil"/>
              <w:right w:val="single" w:color="000000" w:sz="4" w:space="0"/>
            </w:tcBorders>
            <w:shd w:val="clear" w:color="auto" w:fill="auto"/>
            <w:vAlign w:val="center"/>
          </w:tcPr>
          <w:p w14:paraId="0AE0202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41,173,228.13</w:t>
            </w:r>
          </w:p>
        </w:tc>
        <w:tc>
          <w:tcPr>
            <w:tcW w:w="406" w:type="pct"/>
            <w:tcBorders>
              <w:top w:val="nil"/>
              <w:left w:val="nil"/>
              <w:bottom w:val="nil"/>
              <w:right w:val="single" w:color="000000" w:sz="4" w:space="0"/>
            </w:tcBorders>
            <w:shd w:val="clear" w:color="auto" w:fill="auto"/>
            <w:vAlign w:val="center"/>
          </w:tcPr>
          <w:p w14:paraId="3E4A0D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41,173,057.98</w:t>
            </w:r>
          </w:p>
        </w:tc>
        <w:tc>
          <w:tcPr>
            <w:tcW w:w="439" w:type="pct"/>
            <w:tcBorders>
              <w:top w:val="nil"/>
              <w:left w:val="nil"/>
              <w:bottom w:val="nil"/>
              <w:right w:val="single" w:color="000000" w:sz="4" w:space="0"/>
            </w:tcBorders>
            <w:shd w:val="clear" w:color="auto" w:fill="auto"/>
            <w:vAlign w:val="center"/>
          </w:tcPr>
          <w:p w14:paraId="5FCA22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395" w:type="pct"/>
            <w:tcBorders>
              <w:top w:val="nil"/>
              <w:left w:val="nil"/>
              <w:bottom w:val="nil"/>
              <w:right w:val="single" w:color="000000" w:sz="4" w:space="0"/>
            </w:tcBorders>
            <w:shd w:val="clear" w:color="auto" w:fill="auto"/>
            <w:vAlign w:val="center"/>
          </w:tcPr>
          <w:p w14:paraId="3D300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23" w:type="pct"/>
            <w:tcBorders>
              <w:top w:val="nil"/>
              <w:left w:val="nil"/>
              <w:bottom w:val="nil"/>
              <w:right w:val="single" w:color="000000" w:sz="4" w:space="0"/>
            </w:tcBorders>
            <w:shd w:val="clear" w:color="auto" w:fill="auto"/>
            <w:vAlign w:val="center"/>
          </w:tcPr>
          <w:p w14:paraId="2C5CF6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2" w:type="pct"/>
            <w:tcBorders>
              <w:top w:val="nil"/>
              <w:left w:val="nil"/>
              <w:bottom w:val="nil"/>
              <w:right w:val="single" w:color="000000" w:sz="4" w:space="0"/>
            </w:tcBorders>
            <w:shd w:val="clear" w:color="auto" w:fill="auto"/>
            <w:vAlign w:val="center"/>
          </w:tcPr>
          <w:p w14:paraId="662D94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37C8FF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0" w:type="pct"/>
            <w:tcBorders>
              <w:top w:val="nil"/>
              <w:left w:val="nil"/>
              <w:bottom w:val="nil"/>
              <w:right w:val="single" w:color="000000" w:sz="4" w:space="0"/>
            </w:tcBorders>
            <w:shd w:val="clear" w:color="auto" w:fill="auto"/>
            <w:vAlign w:val="center"/>
          </w:tcPr>
          <w:p w14:paraId="0517E9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170.15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39,482,613.25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39,482,443.10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170.15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39,482,613.25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39,482,443.10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170.15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4,222,971.65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4,222,801.50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170.15</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其他政府办公厅（室）及相关机构事务支出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35,259,641.60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35,259,641.60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458,876.16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458,876.16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458,876.16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458,876.16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305,917.44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305,917.44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152,958.72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152,958.72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209,195.72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1,022,543.00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7D8021E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84CD77A">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部门（单位）：天津市东丽区机关事务服务中心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false"/>
                <w:bCs w:val="false"/>
                <w:i w:val="false"/>
                <w:iCs w:val="false"/>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false"/>
                <w:bCs w:val="false"/>
                <w:i w:val="false"/>
                <w:iCs w:val="false"/>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false"/>
                <w:bCs w:val="false"/>
                <w:i w:val="false"/>
                <w:iCs w:val="false"/>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false"/>
                <w:bCs w:val="false"/>
                <w:i w:val="false"/>
                <w:iCs w:val="false"/>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false"/>
                <w:bCs w:val="false"/>
                <w:i w:val="false"/>
                <w:iCs w:val="false"/>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41,173,228.13</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41,173,228.13</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41,173,057.98</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170.15</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
            </w: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340201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天津市东丽区机关事务服务中心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41,173,228.13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41,173,228.13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41,173,057.98</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170.15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237749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567" w:type="pct"/>
            <w:tcBorders>
              <w:top w:val="nil"/>
              <w:left w:val="nil"/>
              <w:bottom w:val="nil"/>
              <w:right w:val="nil"/>
            </w:tcBorders>
            <w:shd w:val="clear" w:color="auto" w:fill="auto"/>
            <w:noWrap/>
            <w:vAlign w:val="bottom"/>
          </w:tcPr>
          <w:p w14:paraId="328B227F">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93" w:type="pct"/>
            <w:tcBorders>
              <w:top w:val="nil"/>
              <w:left w:val="nil"/>
              <w:bottom w:val="nil"/>
              <w:right w:val="single" w:color="000000" w:sz="4" w:space="0"/>
            </w:tcBorders>
            <w:shd w:val="clear" w:color="auto" w:fill="auto"/>
            <w:noWrap/>
            <w:vAlign w:val="center"/>
          </w:tcPr>
          <w:p w14:paraId="05E73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5,913,416.38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39,482,443.10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4,222,801.50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39,482,443.10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4,222,801.50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4,222,801.50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4,222,801.50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其他政府办公厅（室）及相关机构事务支出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458,876.16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305,917.44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305,917.44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152,958.72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152,958.72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209,195.72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1,022,543.00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34C1837F">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D294F7">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705" w:type="pct"/>
            <w:tcBorders>
              <w:top w:val="nil"/>
              <w:left w:val="nil"/>
              <w:bottom w:val="nil"/>
              <w:right w:val="nil"/>
            </w:tcBorders>
            <w:shd w:val="clear" w:color="auto" w:fill="auto"/>
            <w:noWrap/>
            <w:vAlign w:val="bottom"/>
          </w:tcPr>
          <w:p w14:paraId="0AF47DEE">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39,482,443.10</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39,482,443.10</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458,876.16</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458,876.16</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209,195.72</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209,195.72</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1,022,543.00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1,022,543.00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41,173,057.98</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4A2E06B5">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天津市东丽区机关事务服务中心 </w:t>
            </w:r>
          </w:p>
        </w:tc>
        <w:tc>
          <w:tcPr>
            <w:tcW w:w="576" w:type="pct"/>
            <w:tcBorders>
              <w:top w:val="nil"/>
              <w:left w:val="nil"/>
              <w:bottom w:val="nil"/>
              <w:right w:val="nil"/>
            </w:tcBorders>
            <w:shd w:val="clear" w:color="auto" w:fill="auto"/>
            <w:noWrap/>
            <w:vAlign w:val="bottom"/>
          </w:tcPr>
          <w:p w14:paraId="4965D9EE">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616" w:type="pct"/>
            <w:tcBorders>
              <w:top w:val="nil"/>
              <w:left w:val="nil"/>
              <w:bottom w:val="nil"/>
              <w:right w:val="single" w:color="000000" w:sz="4" w:space="0"/>
            </w:tcBorders>
            <w:shd w:val="clear" w:color="auto" w:fill="auto"/>
            <w:noWrap/>
            <w:vAlign w:val="center"/>
          </w:tcPr>
          <w:p w14:paraId="06DE98C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false"/>
                <w:iCs w:val="false"/>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82" w:type="pct"/>
            <w:tcBorders>
              <w:top w:val="nil"/>
              <w:left w:val="nil"/>
              <w:bottom w:val="nil"/>
              <w:right w:val="single" w:color="000000" w:sz="4" w:space="0"/>
            </w:tcBorders>
            <w:shd w:val="clear" w:color="auto" w:fill="auto"/>
            <w:noWrap/>
            <w:vAlign w:val="center"/>
          </w:tcPr>
          <w:p w14:paraId="51CB8B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571" w:type="pct"/>
            <w:tcBorders>
              <w:top w:val="nil"/>
              <w:left w:val="nil"/>
              <w:bottom w:val="nil"/>
              <w:right w:val="single" w:color="000000" w:sz="4" w:space="0"/>
            </w:tcBorders>
            <w:shd w:val="clear" w:color="auto" w:fill="auto"/>
            <w:noWrap/>
            <w:vAlign w:val="center"/>
          </w:tcPr>
          <w:p w14:paraId="2E9FA1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false"/>
                <w:iCs w:val="false"/>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41,173,057.98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5,913,416.38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4,129,899.93</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1,783,516.45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35,259,641.60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39,482,443.10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4,222,801.50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2,439,285.05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1,783,516.45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35,259,641.60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39,482,443.10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4,222,801.50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2,439,285.05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1,783,516.45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35,259,641.60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4,222,801.50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4,222,801.50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2,439,285.05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1,783,516.45</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其他政府办公厅（室）及相关机构事务支出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35,259,641.60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35,259,641.60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458,876.16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305,917.44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305,917.44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305,917.44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152,958.72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152,958.72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152,958.72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209,195.72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1,022,543.00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6591A38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DF0CE2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617" w:type="pct"/>
            <w:tcBorders>
              <w:top w:val="nil"/>
              <w:left w:val="nil"/>
              <w:bottom w:val="nil"/>
              <w:right w:val="nil"/>
            </w:tcBorders>
            <w:shd w:val="clear" w:color="auto" w:fill="auto"/>
            <w:noWrap/>
            <w:vAlign w:val="bottom"/>
          </w:tcPr>
          <w:p w14:paraId="6CFB894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4,129,779.93</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1,423,516.45</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844,800.00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82,816.68</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468,899.60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360,000.00</w:t>
            </w: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1,188.00</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1,106,081.00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305,917.44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152,958.72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7,176.00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191,199.72</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755,837.20</w:t>
            </w: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13,384.45</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1,022,543.00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17,996.00</w:t>
            </w: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291,880.15</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360,000.00</w:t>
            </w: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3,170.00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72,038.00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45,031.10</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22,000.00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31,769.32</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110,000.00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4,129,899.93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1,783,516.45</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2150692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7E6F386">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天津市东丽区机关事务服务中心 </w:t>
            </w:r>
          </w:p>
        </w:tc>
        <w:tc>
          <w:tcPr>
            <w:tcW w:w="542" w:type="pct"/>
            <w:tcBorders>
              <w:top w:val="nil"/>
              <w:left w:val="nil"/>
              <w:bottom w:val="nil"/>
              <w:right w:val="nil"/>
            </w:tcBorders>
            <w:shd w:val="clear" w:color="auto" w:fill="auto"/>
            <w:noWrap/>
            <w:vAlign w:val="bottom"/>
          </w:tcPr>
          <w:p w14:paraId="3EF7D13A">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21" w:type="pct"/>
            <w:tcBorders>
              <w:top w:val="nil"/>
              <w:left w:val="nil"/>
              <w:bottom w:val="nil"/>
              <w:right w:val="single" w:color="000000" w:sz="4" w:space="0"/>
            </w:tcBorders>
            <w:shd w:val="clear" w:color="auto" w:fill="auto"/>
            <w:noWrap/>
            <w:vAlign w:val="center"/>
          </w:tcPr>
          <w:p w14:paraId="0D2418C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false"/>
                <w:iCs w:val="false"/>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false"/>
                <w:iCs w:val="false"/>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60" w:type="pct"/>
            <w:tcBorders>
              <w:top w:val="nil"/>
              <w:left w:val="nil"/>
              <w:bottom w:val="nil"/>
              <w:right w:val="single" w:color="000000" w:sz="4" w:space="0"/>
            </w:tcBorders>
            <w:shd w:val="clear" w:color="auto" w:fill="auto"/>
            <w:noWrap/>
            <w:vAlign w:val="center"/>
          </w:tcPr>
          <w:p w14:paraId="39DCA84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false"/>
                <w:iCs w:val="false"/>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天津市东丽区机关事务服务中心</w:t>
      </w:r>
      <w:r>
        <w:rPr>
          <w:rFonts w:ascii="宋体" w:eastAsia="仿宋_GB2312"/>
          <w:b w:val="false"/>
          <w:sz w:val="30"/>
          <w:szCs w:val="30"/>
        </w:rPr>
        <w:t>2024年政府性基金预算财政拨款收入支出决算表为空表。</w:t>
      </w:r>
    </w:p>
    <w:p w14:paraId="17858C47">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5134C3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天津市东丽区机关事务服务中心 </w:t>
            </w:r>
          </w:p>
        </w:tc>
        <w:tc>
          <w:tcPr>
            <w:tcW w:w="559" w:type="pct"/>
            <w:tcBorders>
              <w:top w:val="nil"/>
              <w:left w:val="nil"/>
              <w:bottom w:val="nil"/>
              <w:right w:val="nil"/>
            </w:tcBorders>
            <w:shd w:val="clear" w:color="auto" w:fill="auto"/>
            <w:noWrap/>
            <w:vAlign w:val="bottom"/>
          </w:tcPr>
          <w:p w14:paraId="110EB63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false"/>
                <w:iCs w:val="false"/>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false"/>
                <w:iCs w:val="false"/>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false"/>
                <w:iCs w:val="false"/>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天津市东丽区机关事务服务中心</w:t>
      </w:r>
      <w:r>
        <w:rPr>
          <w:rFonts w:ascii="宋体" w:eastAsia="仿宋_GB2312"/>
          <w:b w:val="false"/>
          <w:sz w:val="30"/>
          <w:szCs w:val="30"/>
        </w:rPr>
        <w:t>2024年国有资本经营预算财政拨款收入支出决算表为空表。</w:t>
      </w:r>
    </w:p>
    <w:p w14:paraId="30AAA41C">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800ECAD">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2146" w:type="dxa"/>
            <w:tcBorders>
              <w:top w:val="nil"/>
              <w:left w:val="nil"/>
              <w:bottom w:val="nil"/>
              <w:right w:val="nil"/>
            </w:tcBorders>
            <w:shd w:val="clear" w:color="auto" w:fill="auto"/>
            <w:noWrap/>
            <w:vAlign w:val="bottom"/>
          </w:tcPr>
          <w:p w14:paraId="4F2CB78B">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39595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1,452,206.33</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1,446,643.33</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959,100.00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487,543.33</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5,563.00</w:t>
            </w: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DC58E62">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部门（单位）：天津市东丽区机关事务服务中心 </w:t>
            </w:r>
          </w:p>
        </w:tc>
        <w:tc>
          <w:tcPr>
            <w:tcW w:w="583" w:type="pct"/>
            <w:tcBorders>
              <w:top w:val="nil"/>
              <w:left w:val="nil"/>
              <w:bottom w:val="nil"/>
              <w:right w:val="nil"/>
            </w:tcBorders>
            <w:shd w:val="clear" w:color="auto" w:fill="auto"/>
            <w:noWrap/>
            <w:vAlign w:val="bottom"/>
          </w:tcPr>
          <w:p w14:paraId="7EE3BA05">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  计</w:t>
            </w:r>
          </w:p>
        </w:tc>
        <w:tc>
          <w:tcPr>
            <w:tcW w:w="582" w:type="pct"/>
            <w:tcBorders>
              <w:top w:val="nil"/>
              <w:left w:val="nil"/>
              <w:bottom w:val="nil"/>
              <w:right w:val="single" w:color="000000" w:sz="4" w:space="0"/>
            </w:tcBorders>
            <w:shd w:val="clear" w:color="auto" w:fill="auto"/>
            <w:noWrap/>
            <w:vAlign w:val="center"/>
          </w:tcPr>
          <w:p w14:paraId="3C4874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35,259,641.60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其他政府办公厅（室）及相关机构事务支出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35,259,641.60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372ABFDD">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3E3FC924">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2024年度收入、支出决算总计</w:t>
      </w:r>
      <w:r>
        <w:rPr>
          <w:rFonts w:ascii="Times New Roman" w:eastAsia="仿宋_GB2312"/>
          <w:b w:val="false"/>
          <w:sz w:val="30"/>
          <w:szCs w:val="30"/>
        </w:rPr>
        <w:t>41,173,228.13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6,745,812.25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14.078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落实过紧日子要求，项目经费开支减少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一般公共预算财政拨款收入41,173,057.98元、其他收入170.15元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一般公共服务支出39,482,443.10元、社会保障和就业支出458,876.16元、卫生健康支出209,195.72元、住房保障支出1,022,543.00元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2024年度本年收入合计</w:t>
      </w:r>
      <w:r>
        <w:rPr>
          <w:rFonts w:ascii="Times New Roman" w:eastAsia="仿宋_GB2312"/>
          <w:b w:val="false"/>
          <w:sz w:val="30"/>
          <w:szCs w:val="30"/>
        </w:rPr>
        <w:t>41,173,228.13</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6,745,812.25</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落实过紧日子要求，项目经费开支减少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一般公共预算财政拨款收入41,173,057.98元，占100.000%；其他收入170.15元，占0.000%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2024年度本年支出合计</w:t>
      </w:r>
      <w:r>
        <w:rPr>
          <w:rFonts w:ascii="Times New Roman" w:eastAsia="仿宋_GB2312"/>
          <w:b w:val="false"/>
          <w:sz w:val="30"/>
          <w:szCs w:val="30"/>
        </w:rPr>
        <w:t>41,173,057.98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6,745,801.19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落实过紧日子要求，项目经费开支减少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基本支出5,913,416.38元，占14.362%；项目支出35,259,641.60元，占85.638%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41,173,057.98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6,745,801.19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14.078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落实过紧日子要求，项目经费开支减少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一般公共预算财政拨款41,173,057.98元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一般公共服务支出39,482,443.10元、社会保障和就业支出458,876.16元、卫生健康支出209,195.72元、住房保障支出1,022,543.00元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41,173,057.98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6,745,801.19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14.078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落实过紧日子要求，项目经费开支减少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41,173,057.98</w:t>
      </w:r>
      <w:r>
        <w:rPr>
          <w:rFonts w:ascii="Times New Roman" w:eastAsia="仿宋_GB2312"/>
          <w:b w:val="false"/>
          <w:sz w:val="30"/>
          <w:szCs w:val="30"/>
        </w:rPr>
        <w:t>元，主要用于以下方面：</w:t>
      </w:r>
      <w:r>
        <w:rPr>
          <w:rFonts w:ascii="Times New Roman" w:eastAsia="仿宋_GB2312"/>
          <w:b w:val="false"/>
          <w:sz w:val="30"/>
          <w:szCs w:val="30"/>
        </w:rPr>
        <w:t>一般公共服务支出（类）39,482,443.10元，占95.894%；社会保障和就业支出（类）458,876.16元，占1.115%；卫生健康支出（类）209,195.72元，占0.508%；住房保障支出（类）1,022,543.00元，占2.484%</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10,542,360.52</w:t>
      </w:r>
      <w:r>
        <w:rPr>
          <w:rFonts w:ascii="Times New Roman" w:eastAsia="仿宋_GB2312"/>
          <w:b w:val="false"/>
          <w:sz w:val="30"/>
          <w:szCs w:val="30"/>
        </w:rPr>
        <w:t>元，支出决算为</w:t>
      </w:r>
      <w:r>
        <w:rPr>
          <w:rFonts w:ascii="Times New Roman" w:eastAsia="仿宋_GB2312"/>
          <w:b w:val="false"/>
          <w:sz w:val="30"/>
          <w:szCs w:val="30"/>
        </w:rPr>
        <w:t>41,173,057.98</w:t>
      </w:r>
      <w:r>
        <w:rPr>
          <w:rFonts w:ascii="Times New Roman" w:eastAsia="仿宋_GB2312"/>
          <w:b w:val="false"/>
          <w:sz w:val="30"/>
          <w:szCs w:val="30"/>
        </w:rPr>
        <w:t>元，完成年初预算的</w:t>
      </w:r>
      <w:r>
        <w:rPr>
          <w:rFonts w:ascii="Times New Roman" w:eastAsia="仿宋_GB2312"/>
          <w:b w:val="false"/>
          <w:sz w:val="30"/>
          <w:szCs w:val="30"/>
        </w:rPr>
        <w:t>390.549</w:t>
      </w:r>
      <w:r>
        <w:rPr>
          <w:rFonts w:ascii="Times New Roman" w:eastAsia="仿宋_GB2312"/>
          <w:b w:val="false"/>
          <w:sz w:val="30"/>
          <w:szCs w:val="30"/>
        </w:rPr>
        <w:t>%。其中： </w:t>
      </w:r>
    </w:p>
    <w:p w14:paraId="54F92415">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4,161,195.88</w:t>
      </w:r>
      <w:r>
        <w:rPr>
          <w:rFonts w:ascii="Times New Roman" w:eastAsia="仿宋_GB2312"/>
          <w:b w:val="false"/>
          <w:sz w:val="30"/>
          <w:szCs w:val="30"/>
        </w:rPr>
        <w:t>元，支出决算为</w:t>
      </w:r>
      <w:r>
        <w:rPr>
          <w:rFonts w:ascii="Times New Roman" w:eastAsia="仿宋_GB2312"/>
          <w:b w:val="false"/>
          <w:sz w:val="30"/>
          <w:szCs w:val="30"/>
        </w:rPr>
        <w:t>4,222,801.50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101.480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人员职级晋档、职务晋升等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其他政府办公厅（室）及相关机构事务支出</w:t>
      </w:r>
      <w:r>
        <w:rPr>
          <w:rFonts w:ascii="Times New Roman" w:eastAsia="仿宋_GB2312"/>
          <w:b w:val="false"/>
          <w:sz w:val="30"/>
          <w:szCs w:val="30"/>
        </w:rPr>
        <w:t>(项)年初预算为</w:t>
      </w:r>
      <w:r>
        <w:rPr>
          <w:rFonts w:ascii="Times New Roman" w:eastAsia="仿宋_GB2312"/>
          <w:b w:val="false"/>
          <w:sz w:val="30"/>
          <w:szCs w:val="30"/>
        </w:rPr>
        <w:t>4,640,700.00</w:t>
      </w:r>
      <w:r>
        <w:rPr>
          <w:rFonts w:ascii="Times New Roman" w:eastAsia="仿宋_GB2312"/>
          <w:b w:val="false"/>
          <w:sz w:val="30"/>
          <w:szCs w:val="30"/>
        </w:rPr>
        <w:t>元，支出决算为</w:t>
      </w:r>
      <w:r>
        <w:rPr>
          <w:rFonts w:ascii="Times New Roman" w:eastAsia="仿宋_GB2312"/>
          <w:b w:val="false"/>
          <w:sz w:val="30"/>
          <w:szCs w:val="30"/>
        </w:rPr>
        <w:t>35,259,641.60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759.791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工作需要，增加物业管理费项目；电力增容项目；防疫租车费项目；防疫配餐费项目等</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317,679.36</w:t>
      </w:r>
      <w:r>
        <w:rPr>
          <w:rFonts w:ascii="Times New Roman" w:eastAsia="仿宋_GB2312"/>
          <w:b w:val="false"/>
          <w:sz w:val="30"/>
          <w:szCs w:val="30"/>
        </w:rPr>
        <w:t>元，支出决算为</w:t>
      </w:r>
      <w:r>
        <w:rPr>
          <w:rFonts w:ascii="Times New Roman" w:eastAsia="仿宋_GB2312"/>
          <w:b w:val="false"/>
          <w:sz w:val="30"/>
          <w:szCs w:val="30"/>
        </w:rPr>
        <w:t>305,917.44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158,839.68</w:t>
      </w:r>
      <w:r>
        <w:rPr>
          <w:rFonts w:ascii="Times New Roman" w:eastAsia="仿宋_GB2312"/>
          <w:b w:val="false"/>
          <w:sz w:val="30"/>
          <w:szCs w:val="30"/>
        </w:rPr>
        <w:t>元，支出决算为</w:t>
      </w:r>
      <w:r>
        <w:rPr>
          <w:rFonts w:ascii="Times New Roman" w:eastAsia="仿宋_GB2312"/>
          <w:b w:val="false"/>
          <w:sz w:val="30"/>
          <w:szCs w:val="30"/>
        </w:rPr>
        <w:t>152,958.72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217,425.60</w:t>
      </w:r>
      <w:r>
        <w:rPr>
          <w:rFonts w:ascii="Times New Roman" w:eastAsia="仿宋_GB2312"/>
          <w:b w:val="false"/>
          <w:sz w:val="30"/>
          <w:szCs w:val="30"/>
        </w:rPr>
        <w:t>元，支出决算为</w:t>
      </w:r>
      <w:r>
        <w:rPr>
          <w:rFonts w:ascii="Times New Roman" w:eastAsia="仿宋_GB2312"/>
          <w:b w:val="false"/>
          <w:sz w:val="30"/>
          <w:szCs w:val="30"/>
        </w:rPr>
        <w:t>209,195.72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96.215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1,046,520.00</w:t>
      </w:r>
      <w:r>
        <w:rPr>
          <w:rFonts w:ascii="Times New Roman" w:eastAsia="仿宋_GB2312"/>
          <w:b w:val="false"/>
          <w:sz w:val="30"/>
          <w:szCs w:val="30"/>
        </w:rPr>
        <w:t>元，支出决算为</w:t>
      </w:r>
      <w:r>
        <w:rPr>
          <w:rFonts w:ascii="Times New Roman" w:eastAsia="仿宋_GB2312"/>
          <w:b w:val="false"/>
          <w:sz w:val="30"/>
          <w:szCs w:val="30"/>
        </w:rPr>
        <w:t>1,022,543.00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97.709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调整公积金基数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5,913,416.38</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13,009.18</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24年人员经费支出比23年减少380,658.28元，23年人员经费支出包括8名参公人员；24年公用经费比23年增加393,667.46元，24年增加公务用车购置</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4,129,899.93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1,783,516.45</w:t>
      </w:r>
      <w:r>
        <w:rPr>
          <w:rFonts w:ascii="Times New Roman" w:eastAsia="仿宋_GB2312"/>
          <w:b w:val="false"/>
          <w:sz w:val="30"/>
          <w:szCs w:val="30"/>
        </w:rPr>
        <w:t>元，主要包括</w:t>
      </w:r>
      <w:r>
        <w:rPr>
          <w:rFonts w:ascii="Times New Roman" w:eastAsia="仿宋_GB2312"/>
          <w:b w:val="false"/>
          <w:sz w:val="30"/>
          <w:szCs w:val="30"/>
        </w:rPr>
        <w:t>办公费、手续费、邮电费、取暖费、差旅费、维修(护)费、培训费、委托业务费、工会经费、福利费、其他交通费用、税金及附加费用、其他商品和服务支出和公务用车购置</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1,452,206.33</w:t>
      </w:r>
      <w:r>
        <w:rPr>
          <w:rFonts w:ascii="Times New Roman" w:eastAsia="仿宋_GB2312"/>
          <w:b w:val="false"/>
          <w:sz w:val="30"/>
          <w:szCs w:val="30"/>
        </w:rPr>
        <w:t>元，支出决算</w:t>
      </w:r>
      <w:r>
        <w:rPr>
          <w:rFonts w:ascii="Times New Roman" w:eastAsia="仿宋_GB2312"/>
          <w:b w:val="false"/>
          <w:sz w:val="30"/>
          <w:szCs w:val="30"/>
        </w:rPr>
        <w:t>1,452,206.33</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594,258.93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69.265</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严格按照2024年财政拨款预算执行</w:t>
      </w:r>
      <w:r>
        <w:rPr>
          <w:rFonts w:ascii="Times New Roman" w:eastAsia="仿宋_GB2312"/>
          <w:b w:val="false"/>
          <w:sz w:val="30"/>
          <w:szCs w:val="30"/>
        </w:rPr>
        <w:t>；</w:t>
      </w:r>
      <w:r>
        <w:rPr>
          <w:rFonts w:ascii="Times New Roman" w:eastAsia="仿宋_GB2312"/>
          <w:b w:val="false"/>
          <w:sz w:val="30"/>
          <w:szCs w:val="30"/>
        </w:rPr>
        <w:t>决算数较上年增加的主要原因是</w:t>
      </w:r>
      <w:r>
        <w:rPr>
          <w:rFonts w:ascii="Times New Roman" w:eastAsia="仿宋_GB2312"/>
          <w:b w:val="false"/>
          <w:sz w:val="30"/>
          <w:szCs w:val="30"/>
        </w:rPr>
        <w:t>工作需要，增加公务用车购置支出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1,446,643.33</w:t>
      </w:r>
      <w:r>
        <w:rPr>
          <w:rFonts w:ascii="Times New Roman" w:eastAsia="仿宋_GB2312"/>
          <w:b w:val="false"/>
          <w:sz w:val="30"/>
          <w:szCs w:val="30"/>
        </w:rPr>
        <w:t>元，支出决算</w:t>
      </w:r>
      <w:r>
        <w:rPr>
          <w:rFonts w:ascii="Times New Roman" w:eastAsia="仿宋_GB2312"/>
          <w:b w:val="false"/>
          <w:sz w:val="30"/>
          <w:szCs w:val="30"/>
        </w:rPr>
        <w:t>1,446,643.33</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618,992.93</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74.789</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严格按照2024年财政拨款预算执行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工作需要，增加公务用车购置支出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487,543.33</w:t>
      </w:r>
      <w:r>
        <w:rPr>
          <w:rFonts w:ascii="Times New Roman" w:eastAsia="仿宋_GB2312"/>
          <w:b w:val="false"/>
          <w:sz w:val="30"/>
          <w:szCs w:val="30"/>
        </w:rPr>
        <w:t>元，支出决算</w:t>
      </w:r>
      <w:r>
        <w:rPr>
          <w:rFonts w:ascii="Times New Roman" w:eastAsia="仿宋_GB2312"/>
          <w:b w:val="false"/>
          <w:sz w:val="30"/>
          <w:szCs w:val="30"/>
        </w:rPr>
        <w:t>487,543.33</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340,107.07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41.093</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严格按照2024年财政拨款预算执行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落实过紧日子要求，节能降耗，节约开支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77</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959,100.00</w:t>
      </w:r>
      <w:r>
        <w:rPr>
          <w:rFonts w:ascii="Times New Roman" w:eastAsia="仿宋_GB2312"/>
          <w:b w:val="false"/>
          <w:sz w:val="30"/>
          <w:szCs w:val="30"/>
        </w:rPr>
        <w:t>元，支出决算</w:t>
      </w:r>
      <w:r>
        <w:rPr>
          <w:rFonts w:ascii="Times New Roman" w:eastAsia="仿宋_GB2312"/>
          <w:b w:val="false"/>
          <w:sz w:val="30"/>
          <w:szCs w:val="30"/>
        </w:rPr>
        <w:t>959,100.00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增加</w:t>
      </w:r>
      <w:r>
        <w:rPr>
          <w:rFonts w:ascii="Times New Roman" w:eastAsia="仿宋_GB2312"/>
          <w:b w:val="false"/>
          <w:sz w:val="30"/>
          <w:szCs w:val="30"/>
        </w:rPr>
        <w:t>959,100.00</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100.000</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严格按照2024年财政拨款预算执行</w:t>
      </w:r>
      <w:r>
        <w:rPr>
          <w:rFonts w:ascii="Times New Roman" w:eastAsia="仿宋_GB2312"/>
          <w:b w:val="false"/>
          <w:sz w:val="30"/>
          <w:szCs w:val="30"/>
        </w:rPr>
        <w:t>； </w:t>
      </w:r>
      <w:r>
        <w:rPr>
          <w:rFonts w:ascii="Times New Roman" w:eastAsia="仿宋_GB2312"/>
          <w:b w:val="false"/>
          <w:sz w:val="30"/>
          <w:szCs w:val="30"/>
        </w:rPr>
        <w:t>决算数较上年增加的主要原因是</w:t>
      </w:r>
      <w:r>
        <w:rPr>
          <w:rFonts w:ascii="Times New Roman" w:eastAsia="仿宋_GB2312"/>
          <w:b w:val="false"/>
          <w:sz w:val="30"/>
          <w:szCs w:val="30"/>
        </w:rPr>
        <w:t>工作需要，增加公务用车购置支出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5</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5,563.00</w:t>
      </w:r>
      <w:r>
        <w:rPr>
          <w:rFonts w:ascii="Times New Roman" w:eastAsia="仿宋_GB2312"/>
          <w:b w:val="false"/>
          <w:sz w:val="30"/>
          <w:szCs w:val="30"/>
        </w:rPr>
        <w:t>元，支出决算</w:t>
      </w:r>
      <w:r>
        <w:rPr>
          <w:rFonts w:ascii="Times New Roman" w:eastAsia="仿宋_GB2312"/>
          <w:b w:val="false"/>
          <w:sz w:val="30"/>
          <w:szCs w:val="30"/>
        </w:rPr>
        <w:t>5,563.00</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24,734.00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81.638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严格按照2024年财政拨款预算执行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落实过紧日子要求，减少接待批次，节约公务接待开支</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4</w:t>
      </w:r>
      <w:r>
        <w:rPr>
          <w:rFonts w:ascii="Times New Roman" w:eastAsia="仿宋_GB2312"/>
          <w:b w:val="false"/>
          <w:sz w:val="30"/>
          <w:szCs w:val="30"/>
        </w:rPr>
        <w:t>批次，</w:t>
      </w:r>
      <w:r>
        <w:rPr>
          <w:rFonts w:ascii="Times New Roman" w:eastAsia="仿宋_GB2312"/>
          <w:b w:val="false"/>
          <w:sz w:val="30"/>
          <w:szCs w:val="30"/>
        </w:rPr>
        <w:t>51</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w:t>
      </w:r>
      <w:r>
        <w:rPr>
          <w:rFonts w:ascii="Times New Roman" w:eastAsia="仿宋_GB2312"/>
          <w:b w:val="false"/>
          <w:sz w:val="30"/>
          <w:szCs w:val="30"/>
        </w:rPr>
        <w:t>2024年政府采购支出总额</w:t>
      </w:r>
      <w:r>
        <w:rPr>
          <w:rFonts w:ascii="Times New Roman" w:eastAsia="仿宋_GB2312"/>
          <w:b w:val="false"/>
          <w:sz w:val="30"/>
          <w:szCs w:val="30"/>
        </w:rPr>
        <w:t>11,439,623.68</w:t>
      </w:r>
      <w:r>
        <w:rPr>
          <w:rFonts w:ascii="Times New Roman" w:eastAsia="仿宋_GB2312"/>
          <w:b w:val="false"/>
          <w:sz w:val="30"/>
          <w:szCs w:val="30"/>
        </w:rPr>
        <w:t>元，其中：政府采购货物支出</w:t>
      </w:r>
      <w:r>
        <w:rPr>
          <w:rFonts w:ascii="Times New Roman" w:eastAsia="仿宋_GB2312"/>
          <w:b w:val="false"/>
          <w:sz w:val="30"/>
          <w:szCs w:val="30"/>
        </w:rPr>
        <w:t>709,200.00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10,730,423.68</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5,861,200.00</w:t>
      </w:r>
      <w:r>
        <w:rPr>
          <w:rFonts w:ascii="Times New Roman" w:eastAsia="仿宋_GB2312"/>
          <w:b w:val="false"/>
          <w:sz w:val="30"/>
          <w:szCs w:val="30"/>
        </w:rPr>
        <w:t>元，占政府采购支出总额的</w:t>
      </w:r>
      <w:r>
        <w:rPr>
          <w:rFonts w:ascii="Times New Roman" w:eastAsia="仿宋_GB2312"/>
          <w:b w:val="false"/>
          <w:sz w:val="30"/>
          <w:szCs w:val="30"/>
        </w:rPr>
        <w:t>51.236</w:t>
      </w:r>
      <w:r>
        <w:rPr>
          <w:rFonts w:ascii="Times New Roman" w:eastAsia="仿宋_GB2312"/>
          <w:b w:val="false"/>
          <w:sz w:val="30"/>
          <w:szCs w:val="30"/>
        </w:rPr>
        <w:t>%，其中：授予小微企业合同金额</w:t>
      </w:r>
      <w:r>
        <w:rPr>
          <w:rFonts w:ascii="Times New Roman" w:eastAsia="仿宋_GB2312"/>
          <w:b w:val="false"/>
          <w:sz w:val="30"/>
          <w:szCs w:val="30"/>
        </w:rPr>
        <w:t>5,861,200.00</w:t>
      </w:r>
      <w:r>
        <w:rPr>
          <w:rFonts w:ascii="Times New Roman" w:eastAsia="仿宋_GB2312"/>
          <w:b w:val="false"/>
          <w:sz w:val="30"/>
          <w:szCs w:val="30"/>
        </w:rPr>
        <w:t>元，占政府采购支出总额的</w:t>
      </w:r>
      <w:r>
        <w:rPr>
          <w:rFonts w:ascii="Times New Roman" w:eastAsia="仿宋_GB2312"/>
          <w:b w:val="false"/>
          <w:sz w:val="30"/>
          <w:szCs w:val="30"/>
        </w:rPr>
        <w:t>51.236</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48.013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天津市东丽区机关事务服务中心</w:t>
      </w:r>
      <w:r>
        <w:rPr>
          <w:rFonts w:ascii="Times New Roman" w:eastAsia="仿宋_GB2312"/>
          <w:b w:val="false"/>
          <w:sz w:val="30"/>
          <w:szCs w:val="30"/>
        </w:rPr>
        <w:t>共有车辆</w:t>
      </w:r>
      <w:r>
        <w:rPr>
          <w:rFonts w:ascii="Times New Roman" w:eastAsia="仿宋_GB2312"/>
          <w:b w:val="false"/>
          <w:sz w:val="30"/>
          <w:szCs w:val="30"/>
        </w:rPr>
        <w:t>77</w:t>
      </w:r>
      <w:r>
        <w:rPr>
          <w:rFonts w:ascii="Times New Roman" w:eastAsia="仿宋_GB2312"/>
          <w:b w:val="false"/>
          <w:sz w:val="30"/>
          <w:szCs w:val="30"/>
        </w:rPr>
        <w:t>辆，其中：</w:t>
      </w:r>
      <w:r>
        <w:rPr>
          <w:rFonts w:ascii="Times New Roman" w:eastAsia="仿宋_GB2312"/>
          <w:b w:val="false"/>
          <w:sz w:val="30"/>
          <w:szCs w:val="30"/>
        </w:rPr>
        <w:t>应急保障用车</w:t>
      </w:r>
      <w:r>
        <w:rPr>
          <w:rFonts w:ascii="Times New Roman" w:eastAsia="仿宋_GB2312"/>
          <w:b w:val="false"/>
          <w:sz w:val="30"/>
          <w:szCs w:val="30"/>
        </w:rPr>
        <w:t>26</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离退休干部服务用车</w:t>
      </w:r>
      <w:r>
        <w:rPr>
          <w:rFonts w:ascii="Times New Roman" w:eastAsia="仿宋_GB2312"/>
          <w:b w:val="false"/>
          <w:sz w:val="30"/>
          <w:szCs w:val="30"/>
        </w:rPr>
        <w:t>6</w:t>
      </w:r>
      <w:r>
        <w:rPr>
          <w:rFonts w:ascii="Times New Roman" w:eastAsia="仿宋_GB2312"/>
          <w:b w:val="false"/>
          <w:sz w:val="30"/>
          <w:szCs w:val="30"/>
        </w:rPr>
        <w:t>辆</w:t>
      </w:r>
      <w:r>
        <w:rPr>
          <w:rFonts w:ascii="Times New Roman" w:eastAsia="仿宋_GB2312"/>
          <w:b w:val="false"/>
          <w:sz w:val="30"/>
          <w:szCs w:val="30"/>
        </w:rPr>
        <w:t>、</w:t>
      </w:r>
      <w:r>
        <w:rPr>
          <w:rFonts w:ascii="Times New Roman" w:eastAsia="仿宋_GB2312"/>
          <w:b w:val="false"/>
          <w:sz w:val="30"/>
          <w:szCs w:val="30"/>
        </w:rPr>
        <w:t>其他用车</w:t>
      </w:r>
      <w:r>
        <w:rPr>
          <w:rFonts w:ascii="Times New Roman" w:eastAsia="仿宋_GB2312"/>
          <w:b w:val="false"/>
          <w:sz w:val="30"/>
          <w:szCs w:val="30"/>
        </w:rPr>
        <w:t>45</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全区各单位公务用车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2</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根据预算绩效管理要求，天津市东丽区机关事务服务中心已对2024年度22个项目开展绩效自评，涉及金额50,793,897.72元，自评结果已随部门决算一并公开。本部门2024年度未开展部门评价。</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天津市东丽区机关事务服务中心不属于乡、镇、街级单位，不涉及公开2024年度教育、医疗卫生、社会保障和就业、住房保障、涉农补贴等民生支出情况。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19A4F51-3E8E-49D6-9264-C6418EF9BF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371C6E-A316-45FC-AB03-BA5E2FD43334}"/>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96F3829D-4185-4D21-8DED-084B9ADFDF0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6E66">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0</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