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137CC61C">
      <w:pPr>
        <w:spacing w:line="600" w:lineRule="auto"/>
        <w:jc w:val="both"/>
        <w:rPr>
          <w:rFonts w:hint="eastAsia" w:asciiTheme="minorEastAsia" w:hAnsiTheme="minorEastAsia" w:eastAsiaTheme="minorEastAsia" w:cstheme="minorEastAsia"/>
          <w:b w:val="false"/>
          <w:bCs w:val="false"/>
          <w:color w:val="000000"/>
          <w:sz w:val="22"/>
          <w:szCs w:val="22"/>
        </w:rPr>
      </w:pPr>
    </w:p>
    <w:p w14:paraId="7898C273">
      <w:pPr>
        <w:spacing w:line="600" w:lineRule="auto"/>
        <w:jc w:val="both"/>
        <w:rPr>
          <w:rFonts w:hint="eastAsia" w:asciiTheme="minorEastAsia" w:hAnsiTheme="minorEastAsia" w:eastAsiaTheme="minorEastAsia" w:cstheme="minorEastAsia"/>
          <w:b w:val="false"/>
          <w:bCs w:val="false"/>
          <w:color w:val="000000"/>
          <w:sz w:val="22"/>
          <w:szCs w:val="22"/>
        </w:rPr>
      </w:pPr>
    </w:p>
    <w:p w14:paraId="681CA751">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天津市东丽区住房和建设委员会</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E8343E3">
      <w:pPr>
        <w:spacing w:line="600" w:lineRule="auto"/>
        <w:jc w:val="both"/>
        <w:rPr>
          <w:rFonts w:hint="eastAsia" w:asciiTheme="minorEastAsia" w:hAnsiTheme="minorEastAsia" w:eastAsiaTheme="minorEastAsia" w:cstheme="minorEastAsia"/>
          <w:b w:val="false"/>
          <w:bCs w:val="false"/>
          <w:color w:val="000000"/>
          <w:sz w:val="22"/>
          <w:szCs w:val="22"/>
        </w:rPr>
      </w:pPr>
    </w:p>
    <w:p w14:paraId="780B717B">
      <w:pPr>
        <w:spacing w:line="600" w:lineRule="auto"/>
        <w:jc w:val="both"/>
        <w:rPr>
          <w:rFonts w:hint="eastAsia" w:asciiTheme="minorEastAsia" w:hAnsiTheme="minorEastAsia" w:eastAsiaTheme="minorEastAsia" w:cstheme="minorEastAsia"/>
          <w:b w:val="false"/>
          <w:bCs w:val="false"/>
          <w:color w:val="000000"/>
          <w:sz w:val="22"/>
          <w:szCs w:val="22"/>
        </w:rPr>
      </w:pPr>
    </w:p>
    <w:p w14:paraId="2AFBAD51">
      <w:pPr>
        <w:spacing w:line="600" w:lineRule="auto"/>
        <w:jc w:val="both"/>
        <w:rPr>
          <w:rFonts w:hint="eastAsia" w:asciiTheme="minorEastAsia" w:hAnsiTheme="minorEastAsia" w:eastAsiaTheme="minorEastAsia" w:cstheme="minorEastAsia"/>
          <w:b w:val="false"/>
          <w:bCs w:val="false"/>
          <w:color w:val="000000"/>
          <w:sz w:val="22"/>
          <w:szCs w:val="22"/>
        </w:rPr>
      </w:pPr>
    </w:p>
    <w:p w14:paraId="77694AE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DCF2C9">
      <w:pPr>
        <w:rPr>
          <w:rFonts w:hint="eastAsia" w:asciiTheme="minorEastAsia" w:hAnsiTheme="minorEastAsia" w:eastAsiaTheme="minorEastAsia" w:cstheme="minorEastAsia"/>
          <w:b w:val="false"/>
          <w:bCs w:val="false"/>
          <w:sz w:val="22"/>
          <w:szCs w:val="22"/>
          <w:highlight w:val="yellow"/>
        </w:rPr>
      </w:pPr>
    </w:p>
    <w:p w14:paraId="5C75F115">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63AA7961">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（一）贯彻执行国家和本市有关住房和城乡建设的法律、法规、规章和政策，拟订相关规范性文件草案、政策文件和标准，并组织实施和监督检查。</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（二）负责编制住房和城乡建设相关行业发展规划。</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（三）承担城镇低收入住房困难家庭住房保障责任。</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（四）承担推进住房制度改革责任。</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（五）承担规范房地产市场秩序、监督管理房地产市场的责任。</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（六）负责直管公产房屋（党政机关办公用房除外)资产的监督管理、维修管理。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（七）负责物业管理活动的监督管理。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（八）负责建筑行业和建筑市场管理。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（九）负责建设工程勘察设计行业管理，拟订行业发展规划。</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（十）指导村镇建设试点示范工作。落实村庄和小城镇建设有关政策，指导农村住房建设和安全及危房改造。</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（十一）负责建设工程（法律、法规有特殊规定的除外）施工质量、安全生产和文明施工的监督管理。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（十二）负责住房和建设领域科技、教育和信息化建设工作。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（十三）负责重大项目建设综合协调。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（十四）按照区政府的房屋征收决定，负责组织房屋征收实施单位依法实施房屋征收补偿（安置）的工作。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（十五）负责组织指导并监督城乡建设、房地产、住房保障和改革的综合行政执法工作；依法查处重大违法案件和各类违规行为。</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（十六）负责住房和建设综合统计工作。组织开展房屋和城乡建设领域普查，统计分析，按规定发布相关信息。</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（十七）承担本领域安全生产监督管理和监督检查职责。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（十八）负责本领域人才队伍建设。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（十九）负责本领域招商引资工作，配合有关部门推动市政基础设施投融资工作。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（二十）承办区委、区政府交办的其他事项。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1CC64F29">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w:t>
      </w:r>
      <w:r>
        <w:rPr>
          <w:rFonts w:ascii="Times New Roman" w:eastAsia="仿宋_GB2312"/>
          <w:b w:val="false"/>
          <w:sz w:val="30"/>
          <w:szCs w:val="30"/>
        </w:rPr>
        <w:t>内设</w:t>
      </w:r>
      <w:r>
        <w:rPr>
          <w:rFonts w:ascii="Times New Roman" w:eastAsia="仿宋_GB2312"/>
          <w:b w:val="false"/>
          <w:sz w:val="30"/>
          <w:szCs w:val="30"/>
        </w:rPr>
        <w:t>8</w:t>
      </w:r>
      <w:r>
        <w:rPr>
          <w:rFonts w:ascii="Times New Roman" w:eastAsia="仿宋_GB2312"/>
          <w:b w:val="false"/>
          <w:sz w:val="30"/>
          <w:szCs w:val="30"/>
        </w:rPr>
        <w:t>个职能部门；下辖</w:t>
      </w:r>
      <w:r>
        <w:rPr>
          <w:rFonts w:ascii="Times New Roman" w:eastAsia="仿宋_GB2312"/>
          <w:b w:val="false"/>
          <w:sz w:val="30"/>
          <w:szCs w:val="30"/>
        </w:rPr>
        <w:t>2</w:t>
      </w:r>
      <w:r>
        <w:rPr>
          <w:rFonts w:ascii="Times New Roman" w:eastAsia="仿宋_GB2312"/>
          <w:b w:val="false"/>
          <w:sz w:val="30"/>
          <w:szCs w:val="30"/>
        </w:rPr>
        <w:t>个预算单位。纳入</w:t>
      </w:r>
      <w:r>
        <w:rPr>
          <w:rFonts w:ascii="Times New Roman" w:eastAsia="仿宋_GB2312"/>
          <w:b w:val="false"/>
          <w:sz w:val="30"/>
          <w:szCs w:val="30"/>
        </w:rPr>
        <w:t>天津市东丽区住房和建设委员会</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14:paraId="75E639DE">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天津市东丽区住房和建设委员会（本级）</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天津市东丽区住房和建设综合服务中心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天津市东丽区住房和建设综合行政执法支队</w:t>
      </w:r>
    </w:p>
    <w:p w14:paraId="3B0EA3E3">
      <w:pPr>
        <w:rPr>
          <w:rFonts w:hint="eastAsia" w:asciiTheme="minorEastAsia" w:hAnsiTheme="minorEastAsia" w:eastAsiaTheme="minorEastAsia" w:cstheme="minorEastAsia"/>
          <w:b w:val="false"/>
          <w:bCs w:val="false"/>
          <w:i w:val="false"/>
          <w:iCs w:val="false"/>
          <w:caps w:val="false"/>
          <w:color w:val="000000"/>
          <w:spacing w:val="0"/>
          <w:sz w:val="22"/>
          <w:szCs w:val="22"/>
          <w:highlight w:val="none"/>
          <w:shd w:val="clear" w:fill="FFFFFF"/>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61B831D0">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部门（单位）：天津市东丽区住房和建设委员会 </w:t>
            </w:r>
          </w:p>
        </w:tc>
        <w:tc>
          <w:tcPr>
            <w:tcW w:w="1087" w:type="pct"/>
            <w:tcBorders>
              <w:top w:val="nil"/>
              <w:left w:val="nil"/>
              <w:bottom w:val="nil"/>
              <w:right w:val="nil"/>
            </w:tcBorders>
            <w:shd w:val="clear" w:color="auto" w:fill="auto"/>
            <w:noWrap/>
            <w:vAlign w:val="bottom"/>
          </w:tcPr>
          <w:p w14:paraId="42CBBD39">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95,069,451.64</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38,168,100.00</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2,755,142.08</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1,349,428.89</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1,492,843.57</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39,662,182.92</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52,535,934.21</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38,168,100.00</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134,730,395.21</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134,470,788.10</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60,331.00</w:t>
            </w: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893.51</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1,367,809.06</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1,686,853.66</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1,367,809.06</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136,158,535.27</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136,158,535.27</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393FCCC9">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部门（单位）：天津市东丽区住房和建设委员会 </w:t>
            </w:r>
          </w:p>
        </w:tc>
        <w:tc>
          <w:tcPr>
            <w:tcW w:w="440" w:type="pct"/>
            <w:tcBorders>
              <w:top w:val="nil"/>
              <w:left w:val="nil"/>
              <w:bottom w:val="nil"/>
              <w:right w:val="nil"/>
            </w:tcBorders>
            <w:shd w:val="clear" w:color="auto" w:fill="auto"/>
            <w:noWrap/>
            <w:vAlign w:val="bottom"/>
          </w:tcPr>
          <w:p w14:paraId="05A18C42">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50" w:type="pct"/>
            <w:tcBorders>
              <w:top w:val="nil"/>
              <w:left w:val="nil"/>
              <w:bottom w:val="nil"/>
              <w:right w:val="single" w:color="000000" w:sz="4" w:space="0"/>
            </w:tcBorders>
            <w:shd w:val="clear" w:color="auto" w:fill="auto"/>
            <w:vAlign w:val="center"/>
          </w:tcPr>
          <w:p w14:paraId="0AE0202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134,730,395.21</w:t>
            </w:r>
          </w:p>
        </w:tc>
        <w:tc>
          <w:tcPr>
            <w:tcW w:w="406" w:type="pct"/>
            <w:tcBorders>
              <w:top w:val="nil"/>
              <w:left w:val="nil"/>
              <w:bottom w:val="nil"/>
              <w:right w:val="single" w:color="000000" w:sz="4" w:space="0"/>
            </w:tcBorders>
            <w:shd w:val="clear" w:color="auto" w:fill="auto"/>
            <w:vAlign w:val="center"/>
          </w:tcPr>
          <w:p w14:paraId="3E4A0D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133,237,551.64</w:t>
            </w:r>
          </w:p>
        </w:tc>
        <w:tc>
          <w:tcPr>
            <w:tcW w:w="439" w:type="pct"/>
            <w:tcBorders>
              <w:top w:val="nil"/>
              <w:left w:val="nil"/>
              <w:bottom w:val="nil"/>
              <w:right w:val="single" w:color="000000" w:sz="4" w:space="0"/>
            </w:tcBorders>
            <w:shd w:val="clear" w:color="auto" w:fill="auto"/>
            <w:vAlign w:val="center"/>
          </w:tcPr>
          <w:p w14:paraId="5FCA22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395" w:type="pct"/>
            <w:tcBorders>
              <w:top w:val="nil"/>
              <w:left w:val="nil"/>
              <w:bottom w:val="nil"/>
              <w:right w:val="single" w:color="000000" w:sz="4" w:space="0"/>
            </w:tcBorders>
            <w:shd w:val="clear" w:color="auto" w:fill="auto"/>
            <w:vAlign w:val="center"/>
          </w:tcPr>
          <w:p w14:paraId="3D300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23" w:type="pct"/>
            <w:tcBorders>
              <w:top w:val="nil"/>
              <w:left w:val="nil"/>
              <w:bottom w:val="nil"/>
              <w:right w:val="single" w:color="000000" w:sz="4" w:space="0"/>
            </w:tcBorders>
            <w:shd w:val="clear" w:color="auto" w:fill="auto"/>
            <w:vAlign w:val="center"/>
          </w:tcPr>
          <w:p w14:paraId="2C5CF6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2" w:type="pct"/>
            <w:tcBorders>
              <w:top w:val="nil"/>
              <w:left w:val="nil"/>
              <w:bottom w:val="nil"/>
              <w:right w:val="single" w:color="000000" w:sz="4" w:space="0"/>
            </w:tcBorders>
            <w:shd w:val="clear" w:color="auto" w:fill="auto"/>
            <w:vAlign w:val="center"/>
          </w:tcPr>
          <w:p w14:paraId="662D94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37C8FF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0" w:type="pct"/>
            <w:tcBorders>
              <w:top w:val="nil"/>
              <w:left w:val="nil"/>
              <w:bottom w:val="nil"/>
              <w:right w:val="single" w:color="000000" w:sz="4" w:space="0"/>
            </w:tcBorders>
            <w:shd w:val="clear" w:color="auto" w:fill="auto"/>
            <w:vAlign w:val="center"/>
          </w:tcPr>
          <w:p w14:paraId="0517E9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1,492,843.57</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2,755,142.08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2,755,142.08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2,755,142.08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2,755,142.08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1,836,766.72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1,836,766.72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918,375.36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918,375.36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1,349,428.89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1,349,428.89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1,349,428.89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1,349,428.89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389,650.49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389,650.49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881,849.96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881,849.96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77,928.44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77,928.44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39,921,790.03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38,428,946.46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1,492,843.57</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8,926,164.66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7,434,214.60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1,491,950.06</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7,894,320.66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6,402,370.60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1,491,950.06</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373,844.00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373,844.00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其他城乡社区管理事务支出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658,000.00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658,000.00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城乡社区公共设施</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19,005,148.66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19,005,148.66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其他城乡社区公共设施支出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19,005,148.66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19,005,148.66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建设市场管理与监督</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11,990,476.71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11,989,583.20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893.51</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2120601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建设市场管理与监督</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11,990,476.71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11,989,583.20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893.51</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52,535,934.21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52,535,934.21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保障性安居工程支出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46,714,899.21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46,714,899.21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2210110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保障性租赁住房</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其他保障性安居工程支出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26,614,899.21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26,614,899.21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5,821,035.00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5,821,035.00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5,821,035.00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5,821,035.00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38,168,100.00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38,168,100.00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其他政府性基金及对应专项债务收入安排的支出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38,168,100.00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38,168,100.00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2290402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其他地方自行试点项目收益专项债券收入安排的支出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38,168,100.00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38,168,100.00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7D8021E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84CD77A">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部门（单位）：天津市东丽区住房和建设委员会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false"/>
                <w:bCs w:val="false"/>
                <w:i w:val="false"/>
                <w:iCs w:val="false"/>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false"/>
                <w:bCs w:val="false"/>
                <w:i w:val="false"/>
                <w:iCs w:val="false"/>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false"/>
                <w:bCs w:val="false"/>
                <w:i w:val="false"/>
                <w:iCs w:val="false"/>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false"/>
                <w:bCs w:val="false"/>
                <w:i w:val="false"/>
                <w:iCs w:val="false"/>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136,158,535.27</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134,730,395.21</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95,069,451.64</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38,168,100.00</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1,492,843.57</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1,428,140.06</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1,428,140.06</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1,428,140.06</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325101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天津市东丽区住房和建设委员会（本级）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116,936,338.23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115,568,529.17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75,908,479.11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38,168,100.00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1,491,950.06</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1,367,809.06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1,367,809.06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1,367,809.06</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325201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天津市东丽区住房和建设综合服务中心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11,965,705.16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11,965,705.16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11,965,326.14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379.02</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325202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天津市东丽区住房和建设综合行政执法支队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7,256,491.88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7,196,160.88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7,195,646.39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514.49</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60,331.00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60,331.00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60,331.00</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237749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部门（单位）：天津市东丽区住房和建设委员会 </w:t>
            </w:r>
          </w:p>
        </w:tc>
        <w:tc>
          <w:tcPr>
            <w:tcW w:w="567" w:type="pct"/>
            <w:tcBorders>
              <w:top w:val="nil"/>
              <w:left w:val="nil"/>
              <w:bottom w:val="nil"/>
              <w:right w:val="nil"/>
            </w:tcBorders>
            <w:shd w:val="clear" w:color="auto" w:fill="auto"/>
            <w:noWrap/>
            <w:vAlign w:val="bottom"/>
          </w:tcPr>
          <w:p w14:paraId="328B227F">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93" w:type="pct"/>
            <w:tcBorders>
              <w:top w:val="nil"/>
              <w:left w:val="nil"/>
              <w:bottom w:val="nil"/>
              <w:right w:val="single" w:color="000000" w:sz="4" w:space="0"/>
            </w:tcBorders>
            <w:shd w:val="clear" w:color="auto" w:fill="auto"/>
            <w:noWrap/>
            <w:vAlign w:val="center"/>
          </w:tcPr>
          <w:p w14:paraId="05E73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134,470,788.10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29,550,796.23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104,919,991.87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2,755,142.08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2,755,142.08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2,755,142.08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2,755,142.08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1,836,766.72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1,836,766.72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918,375.36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918,375.36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1,349,428.89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1,349,428.89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1,349,428.89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1,349,428.89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389,650.49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389,650.49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881,849.96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881,849.96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77,928.44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77,928.44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39,662,182.92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19,625,190.26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20,036,992.66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8,607,120.06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7,575,276.06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1,031,844.00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7,575,276.06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7,575,276.06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373,844.00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373,844.00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658,000.00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658,000.00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城乡社区公共设施</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19,005,148.66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19,005,148.66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其他城乡社区公共设施支出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19,005,148.66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19,005,148.66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建设市场管理与监督</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12,049,914.20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12,049,914.20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2120601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建设市场管理与监督</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12,049,914.20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12,049,914.20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52,535,934.21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5,821,035.00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46,714,899.21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保障性安居工程支出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46,714,899.21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46,714,899.21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保障性租赁住房</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其他保障性安居工程支出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26,614,899.21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26,614,899.21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5,821,035.00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5,821,035.00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5,821,035.00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5,821,035.00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其他政府性基金及对应专项债务收入安排的支出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其他地方自行试点项目收益专项债券收入安排的支出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34C1837F">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D294F7">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部门（单位）：天津市东丽区住房和建设委员会 </w:t>
            </w:r>
          </w:p>
        </w:tc>
        <w:tc>
          <w:tcPr>
            <w:tcW w:w="705" w:type="pct"/>
            <w:tcBorders>
              <w:top w:val="nil"/>
              <w:left w:val="nil"/>
              <w:bottom w:val="nil"/>
              <w:right w:val="nil"/>
            </w:tcBorders>
            <w:shd w:val="clear" w:color="auto" w:fill="auto"/>
            <w:noWrap/>
            <w:vAlign w:val="bottom"/>
          </w:tcPr>
          <w:p w14:paraId="0AF47DEE">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95,069,451.64</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38,168,100.00</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2,755,142.08</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2,755,142.08</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1,349,428.89</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1,349,428.89</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38,428,946.46</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38,428,946.46</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52,535,934.21</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52,535,934.21</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38,168,100.00</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38,168,100.00</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133,237,551.64</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133,237,551.64</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95,069,451.64</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38,168,100.00</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133,237,551.64</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133,237,551.64</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95,069,451.64</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38,168,100.00</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4A2E06B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天津市东丽区住房和建设委员会 </w:t>
            </w:r>
          </w:p>
        </w:tc>
        <w:tc>
          <w:tcPr>
            <w:tcW w:w="576" w:type="pct"/>
            <w:tcBorders>
              <w:top w:val="nil"/>
              <w:left w:val="nil"/>
              <w:bottom w:val="nil"/>
              <w:right w:val="nil"/>
            </w:tcBorders>
            <w:shd w:val="clear" w:color="auto" w:fill="auto"/>
            <w:noWrap/>
            <w:vAlign w:val="bottom"/>
          </w:tcPr>
          <w:p w14:paraId="4965D9EE">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616" w:type="pct"/>
            <w:tcBorders>
              <w:top w:val="nil"/>
              <w:left w:val="nil"/>
              <w:bottom w:val="nil"/>
              <w:right w:val="single" w:color="000000" w:sz="4" w:space="0"/>
            </w:tcBorders>
            <w:shd w:val="clear" w:color="auto" w:fill="auto"/>
            <w:noWrap/>
            <w:vAlign w:val="center"/>
          </w:tcPr>
          <w:p w14:paraId="06DE98C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false"/>
                <w:iCs w:val="false"/>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82" w:type="pct"/>
            <w:tcBorders>
              <w:top w:val="nil"/>
              <w:left w:val="nil"/>
              <w:bottom w:val="nil"/>
              <w:right w:val="single" w:color="000000" w:sz="4" w:space="0"/>
            </w:tcBorders>
            <w:shd w:val="clear" w:color="auto" w:fill="auto"/>
            <w:noWrap/>
            <w:vAlign w:val="center"/>
          </w:tcPr>
          <w:p w14:paraId="51CB8B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571" w:type="pct"/>
            <w:tcBorders>
              <w:top w:val="nil"/>
              <w:left w:val="nil"/>
              <w:bottom w:val="nil"/>
              <w:right w:val="single" w:color="000000" w:sz="4" w:space="0"/>
            </w:tcBorders>
            <w:shd w:val="clear" w:color="auto" w:fill="auto"/>
            <w:noWrap/>
            <w:vAlign w:val="center"/>
          </w:tcPr>
          <w:p w14:paraId="2E9FA1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false"/>
                <w:iCs w:val="false"/>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95,069,451.64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28,317,559.77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25,104,079.92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3,213,479.85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66,751,891.87</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2,755,142.08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2,755,142.08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2,755,142.08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2,755,142.08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2,755,142.08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2,755,142.08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1,836,766.72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1,836,766.72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1,836,766.72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918,375.36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918,375.36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918,375.36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1,349,428.89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1,349,428.89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1,349,428.89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1,349,428.89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1,349,428.89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1,349,428.89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389,650.49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389,650.49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389,650.49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881,849.96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881,849.96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881,849.96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77,928.44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77,928.44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77,928.44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38,428,946.46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18,391,953.80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15,178,473.95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3,213,479.85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20,036,992.66</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7,434,214.60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6,402,370.60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4,966,377.89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1,435,992.71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1,031,844.00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6,402,370.60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6,402,370.60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4,966,377.89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1,435,992.71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373,844.00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373,844.00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其他城乡社区管理事务支出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658,000.00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658,000.00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城乡社区公共设施</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19,005,148.66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19,005,148.66</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其他城乡社区公共设施支出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19,005,148.66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19,005,148.66</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建设市场管理与监督</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11,989,583.20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11,989,583.20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10,212,096.06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1,777,487.14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2120601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建设市场管理与监督</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11,989,583.20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11,989,583.20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10,212,096.06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1,777,487.14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52,535,934.21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5,821,035.00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5,821,035.00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46,714,899.21</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保障性安居工程支出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46,714,899.21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46,714,899.21</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2210110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保障性租赁住房</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其他保障性安居工程支出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26,614,899.21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26,614,899.21</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5,821,035.00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5,821,035.00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5,821,035.00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5,821,035.00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5,821,035.00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5,821,035.00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6591A38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DF0CE2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部门（单位）：天津市东丽区住房和建设委员会 </w:t>
            </w:r>
          </w:p>
        </w:tc>
        <w:tc>
          <w:tcPr>
            <w:tcW w:w="617" w:type="pct"/>
            <w:tcBorders>
              <w:top w:val="nil"/>
              <w:left w:val="nil"/>
              <w:bottom w:val="nil"/>
              <w:right w:val="nil"/>
            </w:tcBorders>
            <w:shd w:val="clear" w:color="auto" w:fill="auto"/>
            <w:noWrap/>
            <w:vAlign w:val="bottom"/>
          </w:tcPr>
          <w:p w14:paraId="6CFB894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24,215,066.58</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3,206,150.85</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4,974,276.00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192,367.70</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3,107,489.30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7,329.00</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1,314,853.00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1,134.00</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7,329.00</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4,061,406.50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40,080.60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1,836,766.72</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317,291.32</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918,375.36</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77,034.66</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1,170,886.45</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331,118.80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77,928.44</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492,264.00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62,912.81</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8,790.00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6,141,895.00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43,354.00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12,939.00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504,923.00</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373,246.00</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889,013.34</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5,990.00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596,807.18</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29,879.16</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57,260.00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224,403.38</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725.00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192,994.00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47,512.55</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286,328.00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204,342.00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44,193.84</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558,463.00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25,104,079.92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3,213,479.85</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2150692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7E6F386">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天津市东丽区住房和建设委员会 </w:t>
            </w:r>
          </w:p>
        </w:tc>
        <w:tc>
          <w:tcPr>
            <w:tcW w:w="542" w:type="pct"/>
            <w:tcBorders>
              <w:top w:val="nil"/>
              <w:left w:val="nil"/>
              <w:bottom w:val="nil"/>
              <w:right w:val="nil"/>
            </w:tcBorders>
            <w:shd w:val="clear" w:color="auto" w:fill="auto"/>
            <w:noWrap/>
            <w:vAlign w:val="bottom"/>
          </w:tcPr>
          <w:p w14:paraId="3EF7D13A">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21" w:type="pct"/>
            <w:tcBorders>
              <w:top w:val="nil"/>
              <w:left w:val="nil"/>
              <w:bottom w:val="nil"/>
              <w:right w:val="single" w:color="000000" w:sz="4" w:space="0"/>
            </w:tcBorders>
            <w:shd w:val="clear" w:color="auto" w:fill="auto"/>
            <w:noWrap/>
            <w:vAlign w:val="center"/>
          </w:tcPr>
          <w:p w14:paraId="0D2418C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false"/>
                <w:iCs w:val="false"/>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false"/>
                <w:iCs w:val="false"/>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60" w:type="pct"/>
            <w:tcBorders>
              <w:top w:val="nil"/>
              <w:left w:val="nil"/>
              <w:bottom w:val="nil"/>
              <w:right w:val="single" w:color="000000" w:sz="4" w:space="0"/>
            </w:tcBorders>
            <w:shd w:val="clear" w:color="auto" w:fill="auto"/>
            <w:noWrap/>
            <w:vAlign w:val="center"/>
          </w:tcPr>
          <w:p w14:paraId="39DCA84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false"/>
                <w:iCs w:val="false"/>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38,168,100.00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38,168,100.00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38,168,100.00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229</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其他支出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38,168,100.00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38,168,100.00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38,168,100.00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22904</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其他政府性基金及对应专项债务收入安排的支出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38,168,100.00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38,168,100.00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38,168,100.00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2290402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其他地方自行试点项目收益专项债券收入安排的支出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38,168,100.00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38,168,100.00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38,168,100.00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14:paraId="17858C47">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5134C3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天津市东丽区住房和建设委员会 </w:t>
            </w:r>
          </w:p>
        </w:tc>
        <w:tc>
          <w:tcPr>
            <w:tcW w:w="559" w:type="pct"/>
            <w:tcBorders>
              <w:top w:val="nil"/>
              <w:left w:val="nil"/>
              <w:bottom w:val="nil"/>
              <w:right w:val="nil"/>
            </w:tcBorders>
            <w:shd w:val="clear" w:color="auto" w:fill="auto"/>
            <w:noWrap/>
            <w:vAlign w:val="bottom"/>
          </w:tcPr>
          <w:p w14:paraId="110EB63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false"/>
                <w:iCs w:val="false"/>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false"/>
                <w:iCs w:val="false"/>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false"/>
                <w:iCs w:val="false"/>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天津市东丽区住房和建设委员会</w:t>
      </w:r>
      <w:r>
        <w:rPr>
          <w:rFonts w:ascii="宋体" w:eastAsia="仿宋_GB2312"/>
          <w:b w:val="false"/>
          <w:sz w:val="30"/>
          <w:szCs w:val="30"/>
        </w:rPr>
        <w:t>2024年国有资本经营预算财政拨款收入支出决算表为空表。</w:t>
      </w:r>
    </w:p>
    <w:p w14:paraId="30AAA41C">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800ECAD">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部门（单位）：天津市东丽区住房和建设委员会 </w:t>
            </w:r>
          </w:p>
        </w:tc>
        <w:tc>
          <w:tcPr>
            <w:tcW w:w="2146" w:type="dxa"/>
            <w:tcBorders>
              <w:top w:val="nil"/>
              <w:left w:val="nil"/>
              <w:bottom w:val="nil"/>
              <w:right w:val="nil"/>
            </w:tcBorders>
            <w:shd w:val="clear" w:color="auto" w:fill="auto"/>
            <w:noWrap/>
            <w:vAlign w:val="bottom"/>
          </w:tcPr>
          <w:p w14:paraId="4F2CB78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39595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47,512.55</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47,512.55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47,512.55</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DC58E62">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部门（单位）：天津市东丽区住房和建设委员会 </w:t>
            </w:r>
          </w:p>
        </w:tc>
        <w:tc>
          <w:tcPr>
            <w:tcW w:w="583" w:type="pct"/>
            <w:tcBorders>
              <w:top w:val="nil"/>
              <w:left w:val="nil"/>
              <w:bottom w:val="nil"/>
              <w:right w:val="nil"/>
            </w:tcBorders>
            <w:shd w:val="clear" w:color="auto" w:fill="auto"/>
            <w:noWrap/>
            <w:vAlign w:val="bottom"/>
          </w:tcPr>
          <w:p w14:paraId="7EE3BA05">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  计</w:t>
            </w:r>
          </w:p>
        </w:tc>
        <w:tc>
          <w:tcPr>
            <w:tcW w:w="582" w:type="pct"/>
            <w:tcBorders>
              <w:top w:val="nil"/>
              <w:left w:val="nil"/>
              <w:bottom w:val="nil"/>
              <w:right w:val="single" w:color="000000" w:sz="4" w:space="0"/>
            </w:tcBorders>
            <w:shd w:val="clear" w:color="auto" w:fill="auto"/>
            <w:noWrap/>
            <w:vAlign w:val="center"/>
          </w:tcPr>
          <w:p w14:paraId="3C4874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104,919,991.87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66,751,891.87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38,168,100.00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20,036,992.66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20,036,992.66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1,031,844.00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1,031,844.00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373,844.00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373,844.00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其他城乡社区管理事务支出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658,000.00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658,000.00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城乡社区公共设施</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19,005,148.66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19,005,148.66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其他城乡社区公共设施支出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19,005,148.66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19,005,148.66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46,714,899.21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46,714,899.21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保障性安居工程支出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46,714,899.21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46,714,899.21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保障性租赁住房</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其他保障性安居工程支出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26,614,899.21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26,614,899.21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其他政府性基金及对应专项债务收入安排的支出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其他地方自行试点项目收益专项债券收入安排的支出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372ABFDD">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3E3FC924">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w:t>
      </w:r>
      <w:r>
        <w:rPr>
          <w:rFonts w:ascii="Times New Roman" w:eastAsia="仿宋_GB2312"/>
          <w:b w:val="false"/>
          <w:sz w:val="30"/>
          <w:szCs w:val="30"/>
        </w:rPr>
        <w:t>2024年度收入、支出决算总计</w:t>
      </w:r>
      <w:r>
        <w:rPr>
          <w:rFonts w:ascii="Times New Roman" w:eastAsia="仿宋_GB2312"/>
          <w:b w:val="false"/>
          <w:sz w:val="30"/>
          <w:szCs w:val="30"/>
        </w:rPr>
        <w:t>136,158,535.27</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179,481,851.53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56.863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本年度项目资金减少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一般公共预算财政拨款收入95,069,451.64元、政府性基金预算财政拨款收入38,168,100.00元、其他收入1,492,843.57元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社会保障和就业支出2,755,142.08元、卫生健康支出1,349,428.89元、城乡社区支出39,662,182.92元、住房保障支出52,535,934.21元、其他支出38,168,100.00元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w:t>
      </w:r>
      <w:r>
        <w:rPr>
          <w:rFonts w:ascii="Times New Roman" w:eastAsia="仿宋_GB2312"/>
          <w:b w:val="false"/>
          <w:sz w:val="30"/>
          <w:szCs w:val="30"/>
        </w:rPr>
        <w:t>2024年度本年收入合计</w:t>
      </w:r>
      <w:r>
        <w:rPr>
          <w:rFonts w:ascii="Times New Roman" w:eastAsia="仿宋_GB2312"/>
          <w:b w:val="false"/>
          <w:sz w:val="30"/>
          <w:szCs w:val="30"/>
        </w:rPr>
        <w:t>134,730,395.21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179,126,998.69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本年度项目资金减少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一般公共预算财政拨款收入95,069,451.64元，占70.563%；政府性基金预算财政拨款收入38,168,100.00元，占28.329%；其他收入1,492,843.57元，占1.108%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w:t>
      </w:r>
      <w:r>
        <w:rPr>
          <w:rFonts w:ascii="Times New Roman" w:eastAsia="仿宋_GB2312"/>
          <w:b w:val="false"/>
          <w:sz w:val="30"/>
          <w:szCs w:val="30"/>
        </w:rPr>
        <w:t>2024年度本年支出合计</w:t>
      </w:r>
      <w:r>
        <w:rPr>
          <w:rFonts w:ascii="Times New Roman" w:eastAsia="仿宋_GB2312"/>
          <w:b w:val="false"/>
          <w:sz w:val="30"/>
          <w:szCs w:val="30"/>
        </w:rPr>
        <w:t>134,470,788.10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179,798,573.93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本年度项目资金减少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基本支出29,550,796.23元，占21.976%；项目支出104,919,991.87元，占78.024%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w:t>
      </w:r>
      <w:r>
        <w:rPr>
          <w:rFonts w:ascii="Times New Roman" w:eastAsia="仿宋_GB2312"/>
          <w:b w:val="false"/>
          <w:sz w:val="30"/>
          <w:szCs w:val="30"/>
        </w:rPr>
        <w:t>2024年度财政拨款收入、支出决算总计</w:t>
      </w:r>
      <w:r>
        <w:rPr>
          <w:rFonts w:ascii="Times New Roman" w:eastAsia="仿宋_GB2312"/>
          <w:b w:val="false"/>
          <w:sz w:val="30"/>
          <w:szCs w:val="30"/>
        </w:rPr>
        <w:t>133,237,551.64</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179,237,784.60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57.361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本年度项目资金减少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一般公共预算财政拨款95,069,451.64元、政府性基金预算财政拨款38,168,100.00元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社会保障和就业支出2,755,142.08元、卫生健康支出1,349,428.89元、城乡社区支出38,428,946.46元、住房保障支出52,535,934.21元、其他支出38,168,100.00元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95,069,451.64</w:t>
      </w:r>
      <w:r>
        <w:rPr>
          <w:rFonts w:ascii="Times New Roman" w:eastAsia="仿宋_GB2312"/>
          <w:b w:val="false"/>
          <w:sz w:val="30"/>
          <w:szCs w:val="30"/>
        </w:rPr>
        <w:t>元，占本年支出合计的</w:t>
      </w:r>
      <w:r>
        <w:rPr>
          <w:rFonts w:ascii="Times New Roman" w:eastAsia="仿宋_GB2312"/>
          <w:b w:val="false"/>
          <w:sz w:val="30"/>
          <w:szCs w:val="30"/>
        </w:rPr>
        <w:t>70.699</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16,981,816.39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15.155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本年度项目资金减少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95,069,451.64</w:t>
      </w:r>
      <w:r>
        <w:rPr>
          <w:rFonts w:ascii="Times New Roman" w:eastAsia="仿宋_GB2312"/>
          <w:b w:val="false"/>
          <w:sz w:val="30"/>
          <w:szCs w:val="30"/>
        </w:rPr>
        <w:t>元，主要用于以下方面：</w:t>
      </w:r>
      <w:r>
        <w:rPr>
          <w:rFonts w:ascii="Times New Roman" w:eastAsia="仿宋_GB2312"/>
          <w:b w:val="false"/>
          <w:sz w:val="30"/>
          <w:szCs w:val="30"/>
        </w:rPr>
        <w:t>社会保障和就业支出（类）2,755,142.08元，占2.898%；卫生健康支出（类）1,349,428.89元，占1.419%；城乡社区支出（类）38,428,946.46元，占40.422%；住房保障支出（类）52,535,934.21元，占55.261%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67,737,500.00</w:t>
      </w:r>
      <w:r>
        <w:rPr>
          <w:rFonts w:ascii="Times New Roman" w:eastAsia="仿宋_GB2312"/>
          <w:b w:val="false"/>
          <w:sz w:val="30"/>
          <w:szCs w:val="30"/>
        </w:rPr>
        <w:t>元，支出决算为</w:t>
      </w:r>
      <w:r>
        <w:rPr>
          <w:rFonts w:ascii="Times New Roman" w:eastAsia="仿宋_GB2312"/>
          <w:b w:val="false"/>
          <w:sz w:val="30"/>
          <w:szCs w:val="30"/>
        </w:rPr>
        <w:t>95,069,451.64</w:t>
      </w:r>
      <w:r>
        <w:rPr>
          <w:rFonts w:ascii="Times New Roman" w:eastAsia="仿宋_GB2312"/>
          <w:b w:val="false"/>
          <w:sz w:val="30"/>
          <w:szCs w:val="30"/>
        </w:rPr>
        <w:t>元，完成年初预算的</w:t>
      </w:r>
      <w:r>
        <w:rPr>
          <w:rFonts w:ascii="Times New Roman" w:eastAsia="仿宋_GB2312"/>
          <w:b w:val="false"/>
          <w:sz w:val="30"/>
          <w:szCs w:val="30"/>
        </w:rPr>
        <w:t>140.350</w:t>
      </w:r>
      <w:r>
        <w:rPr>
          <w:rFonts w:ascii="Times New Roman" w:eastAsia="仿宋_GB2312"/>
          <w:b w:val="false"/>
          <w:sz w:val="30"/>
          <w:szCs w:val="30"/>
        </w:rPr>
        <w:t>%。其中： </w:t>
      </w:r>
    </w:p>
    <w:p w14:paraId="54F92415">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1,772,300.00</w:t>
      </w:r>
      <w:r>
        <w:rPr>
          <w:rFonts w:ascii="Times New Roman" w:eastAsia="仿宋_GB2312"/>
          <w:b w:val="false"/>
          <w:sz w:val="30"/>
          <w:szCs w:val="30"/>
        </w:rPr>
        <w:t>元，支出决算为</w:t>
      </w:r>
      <w:r>
        <w:rPr>
          <w:rFonts w:ascii="Times New Roman" w:eastAsia="仿宋_GB2312"/>
          <w:b w:val="false"/>
          <w:sz w:val="30"/>
          <w:szCs w:val="30"/>
        </w:rPr>
        <w:t>1,836,766.72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103.637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本年度调增在职人员养老保险费用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886,100.00</w:t>
      </w:r>
      <w:r>
        <w:rPr>
          <w:rFonts w:ascii="Times New Roman" w:eastAsia="仿宋_GB2312"/>
          <w:b w:val="false"/>
          <w:sz w:val="30"/>
          <w:szCs w:val="30"/>
        </w:rPr>
        <w:t>元，支出决算为</w:t>
      </w:r>
      <w:r>
        <w:rPr>
          <w:rFonts w:ascii="Times New Roman" w:eastAsia="仿宋_GB2312"/>
          <w:b w:val="false"/>
          <w:sz w:val="30"/>
          <w:szCs w:val="30"/>
        </w:rPr>
        <w:t>918,375.36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103.642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本年度调增在职人员职业年金费用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394,500.00</w:t>
      </w:r>
      <w:r>
        <w:rPr>
          <w:rFonts w:ascii="Times New Roman" w:eastAsia="仿宋_GB2312"/>
          <w:b w:val="false"/>
          <w:sz w:val="30"/>
          <w:szCs w:val="30"/>
        </w:rPr>
        <w:t>元，支出决算为</w:t>
      </w:r>
      <w:r>
        <w:rPr>
          <w:rFonts w:ascii="Times New Roman" w:eastAsia="仿宋_GB2312"/>
          <w:b w:val="false"/>
          <w:sz w:val="30"/>
          <w:szCs w:val="30"/>
        </w:rPr>
        <w:t>389,650.49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98.771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本年度在职人员调动和在职人员退休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841,900.00</w:t>
      </w:r>
      <w:r>
        <w:rPr>
          <w:rFonts w:ascii="Times New Roman" w:eastAsia="仿宋_GB2312"/>
          <w:b w:val="false"/>
          <w:sz w:val="30"/>
          <w:szCs w:val="30"/>
        </w:rPr>
        <w:t>元，支出决算为</w:t>
      </w:r>
      <w:r>
        <w:rPr>
          <w:rFonts w:ascii="Times New Roman" w:eastAsia="仿宋_GB2312"/>
          <w:b w:val="false"/>
          <w:sz w:val="30"/>
          <w:szCs w:val="30"/>
        </w:rPr>
        <w:t>881,849.96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104.745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本年度调增在职人员医疗保险费用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78,900.00</w:t>
      </w:r>
      <w:r>
        <w:rPr>
          <w:rFonts w:ascii="Times New Roman" w:eastAsia="仿宋_GB2312"/>
          <w:b w:val="false"/>
          <w:sz w:val="30"/>
          <w:szCs w:val="30"/>
        </w:rPr>
        <w:t>元，支出决算为</w:t>
      </w:r>
      <w:r>
        <w:rPr>
          <w:rFonts w:ascii="Times New Roman" w:eastAsia="仿宋_GB2312"/>
          <w:b w:val="false"/>
          <w:sz w:val="30"/>
          <w:szCs w:val="30"/>
        </w:rPr>
        <w:t>77,928.44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98.769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本年度在职人员调动和在职人员退休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6,044,300.00</w:t>
      </w:r>
      <w:r>
        <w:rPr>
          <w:rFonts w:ascii="Times New Roman" w:eastAsia="仿宋_GB2312"/>
          <w:b w:val="false"/>
          <w:sz w:val="30"/>
          <w:szCs w:val="30"/>
        </w:rPr>
        <w:t>元，支出决算为</w:t>
      </w:r>
      <w:r>
        <w:rPr>
          <w:rFonts w:ascii="Times New Roman" w:eastAsia="仿宋_GB2312"/>
          <w:b w:val="false"/>
          <w:sz w:val="30"/>
          <w:szCs w:val="30"/>
        </w:rPr>
        <w:t>6,402,370.60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105.924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本年度调增在职人员基本工资、规范性津贴补贴和改革性等津贴补贴等经费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一般行政管理事务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373,844.00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本年度发放退休人员死亡抚恤金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其他城乡社区管理事务支出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658,000.00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年初未安排其他城乡社区管理事务支出预算，年度内追加预算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城乡社区公共设施</w:t>
      </w:r>
      <w:r>
        <w:rPr>
          <w:rFonts w:ascii="Times New Roman" w:eastAsia="仿宋_GB2312"/>
          <w:b w:val="false"/>
          <w:sz w:val="30"/>
          <w:szCs w:val="30"/>
        </w:rPr>
        <w:t>(款)</w:t>
      </w:r>
      <w:r>
        <w:rPr>
          <w:rFonts w:ascii="Times New Roman" w:eastAsia="仿宋_GB2312"/>
          <w:b w:val="false"/>
          <w:sz w:val="30"/>
          <w:szCs w:val="30"/>
        </w:rPr>
        <w:t>其他城乡社区公共设施支出</w:t>
      </w:r>
      <w:r>
        <w:rPr>
          <w:rFonts w:ascii="Times New Roman" w:eastAsia="仿宋_GB2312"/>
          <w:b w:val="false"/>
          <w:sz w:val="30"/>
          <w:szCs w:val="30"/>
        </w:rPr>
        <w:t>(项)年初预算为</w:t>
      </w:r>
      <w:r>
        <w:rPr>
          <w:rFonts w:ascii="Times New Roman" w:eastAsia="仿宋_GB2312"/>
          <w:b w:val="false"/>
          <w:sz w:val="30"/>
          <w:szCs w:val="30"/>
        </w:rPr>
        <w:t>5,625,800.00</w:t>
      </w:r>
      <w:r>
        <w:rPr>
          <w:rFonts w:ascii="Times New Roman" w:eastAsia="仿宋_GB2312"/>
          <w:b w:val="false"/>
          <w:sz w:val="30"/>
          <w:szCs w:val="30"/>
        </w:rPr>
        <w:t>元，支出决算为</w:t>
      </w:r>
      <w:r>
        <w:rPr>
          <w:rFonts w:ascii="Times New Roman" w:eastAsia="仿宋_GB2312"/>
          <w:b w:val="false"/>
          <w:sz w:val="30"/>
          <w:szCs w:val="30"/>
        </w:rPr>
        <w:t>19,005,148.66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337.821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本年度年其他城乡社区公共设施支出项目预算资金增加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建设市场管理与监督</w:t>
      </w:r>
      <w:r>
        <w:rPr>
          <w:rFonts w:ascii="Times New Roman" w:eastAsia="仿宋_GB2312"/>
          <w:b w:val="false"/>
          <w:sz w:val="30"/>
          <w:szCs w:val="30"/>
        </w:rPr>
        <w:t>(款)</w:t>
      </w:r>
      <w:r>
        <w:rPr>
          <w:rFonts w:ascii="Times New Roman" w:eastAsia="仿宋_GB2312"/>
          <w:b w:val="false"/>
          <w:sz w:val="30"/>
          <w:szCs w:val="30"/>
        </w:rPr>
        <w:t>建设市场管理与监督</w:t>
      </w:r>
      <w:r>
        <w:rPr>
          <w:rFonts w:ascii="Times New Roman" w:eastAsia="仿宋_GB2312"/>
          <w:b w:val="false"/>
          <w:sz w:val="30"/>
          <w:szCs w:val="30"/>
        </w:rPr>
        <w:t>(项)年初预算为</w:t>
      </w:r>
      <w:r>
        <w:rPr>
          <w:rFonts w:ascii="Times New Roman" w:eastAsia="仿宋_GB2312"/>
          <w:b w:val="false"/>
          <w:sz w:val="30"/>
          <w:szCs w:val="30"/>
        </w:rPr>
        <w:t>11,334,200.00</w:t>
      </w:r>
      <w:r>
        <w:rPr>
          <w:rFonts w:ascii="Times New Roman" w:eastAsia="仿宋_GB2312"/>
          <w:b w:val="false"/>
          <w:sz w:val="30"/>
          <w:szCs w:val="30"/>
        </w:rPr>
        <w:t>元，支出决算为</w:t>
      </w:r>
      <w:r>
        <w:rPr>
          <w:rFonts w:ascii="Times New Roman" w:eastAsia="仿宋_GB2312"/>
          <w:b w:val="false"/>
          <w:sz w:val="30"/>
          <w:szCs w:val="30"/>
        </w:rPr>
        <w:t>11,989,583.20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105.782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本年度调整在职人员经费和年初未安排其他城乡社区管理事务支出预算，年度内追加预算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保障性安居工程支出</w:t>
      </w:r>
      <w:r>
        <w:rPr>
          <w:rFonts w:ascii="Times New Roman" w:eastAsia="仿宋_GB2312"/>
          <w:b w:val="false"/>
          <w:sz w:val="30"/>
          <w:szCs w:val="30"/>
        </w:rPr>
        <w:t>(款)</w:t>
      </w:r>
      <w:r>
        <w:rPr>
          <w:rFonts w:ascii="Times New Roman" w:eastAsia="仿宋_GB2312"/>
          <w:b w:val="false"/>
          <w:sz w:val="30"/>
          <w:szCs w:val="30"/>
        </w:rPr>
        <w:t>保障性租赁住房</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20,100,000.00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本年度保障性租赁住房项目预算资金增加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保障性安居工程支出</w:t>
      </w:r>
      <w:r>
        <w:rPr>
          <w:rFonts w:ascii="Times New Roman" w:eastAsia="仿宋_GB2312"/>
          <w:b w:val="false"/>
          <w:sz w:val="30"/>
          <w:szCs w:val="30"/>
        </w:rPr>
        <w:t>(款)</w:t>
      </w:r>
      <w:r>
        <w:rPr>
          <w:rFonts w:ascii="Times New Roman" w:eastAsia="仿宋_GB2312"/>
          <w:b w:val="false"/>
          <w:sz w:val="30"/>
          <w:szCs w:val="30"/>
        </w:rPr>
        <w:t>其他保障性安居工程支出</w:t>
      </w:r>
      <w:r>
        <w:rPr>
          <w:rFonts w:ascii="Times New Roman" w:eastAsia="仿宋_GB2312"/>
          <w:b w:val="false"/>
          <w:sz w:val="30"/>
          <w:szCs w:val="30"/>
        </w:rPr>
        <w:t>(项)年初预算为</w:t>
      </w:r>
      <w:r>
        <w:rPr>
          <w:rFonts w:ascii="Times New Roman" w:eastAsia="仿宋_GB2312"/>
          <w:b w:val="false"/>
          <w:sz w:val="30"/>
          <w:szCs w:val="30"/>
        </w:rPr>
        <w:t>34,950,300.00</w:t>
      </w:r>
      <w:r>
        <w:rPr>
          <w:rFonts w:ascii="Times New Roman" w:eastAsia="仿宋_GB2312"/>
          <w:b w:val="false"/>
          <w:sz w:val="30"/>
          <w:szCs w:val="30"/>
        </w:rPr>
        <w:t>元，支出决算为</w:t>
      </w:r>
      <w:r>
        <w:rPr>
          <w:rFonts w:ascii="Times New Roman" w:eastAsia="仿宋_GB2312"/>
          <w:b w:val="false"/>
          <w:sz w:val="30"/>
          <w:szCs w:val="30"/>
        </w:rPr>
        <w:t>26,614,899.21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76.151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本年度其他保障性安居工程支出项目预算资金减少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13.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5,809,200.00</w:t>
      </w:r>
      <w:r>
        <w:rPr>
          <w:rFonts w:ascii="Times New Roman" w:eastAsia="仿宋_GB2312"/>
          <w:b w:val="false"/>
          <w:sz w:val="30"/>
          <w:szCs w:val="30"/>
        </w:rPr>
        <w:t>元，支出决算为</w:t>
      </w:r>
      <w:r>
        <w:rPr>
          <w:rFonts w:ascii="Times New Roman" w:eastAsia="仿宋_GB2312"/>
          <w:b w:val="false"/>
          <w:sz w:val="30"/>
          <w:szCs w:val="30"/>
        </w:rPr>
        <w:t>5,821,035.00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100.204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本年度调增在职人员住房公积金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28,317,559.77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994,631.93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本年度在职人员调动和在职人员退休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25,104,079.92</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公务员医疗补助缴费、其他社会保障缴费、住房公积金、医疗费、其他工资福利支出、退休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3,213,479.85</w:t>
      </w:r>
      <w:r>
        <w:rPr>
          <w:rFonts w:ascii="Times New Roman" w:eastAsia="仿宋_GB2312"/>
          <w:b w:val="false"/>
          <w:sz w:val="30"/>
          <w:szCs w:val="30"/>
        </w:rPr>
        <w:t>元，主要包括</w:t>
      </w:r>
      <w:r>
        <w:rPr>
          <w:rFonts w:ascii="Times New Roman" w:eastAsia="仿宋_GB2312"/>
          <w:b w:val="false"/>
          <w:sz w:val="30"/>
          <w:szCs w:val="30"/>
        </w:rPr>
        <w:t>办公费、手续费、水费、电费、邮电费、取暖费、物业管理费、差旅费、维修(护)费、租赁费、培训费、工会经费、福利费、公务用车运行维护费、其他交通费用、税金及附加费用、其他商品和服务支出和办公设备购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w:t>
      </w:r>
      <w:r>
        <w:rPr>
          <w:rFonts w:ascii="Times New Roman" w:eastAsia="仿宋_GB2312"/>
          <w:b w:val="false"/>
          <w:sz w:val="30"/>
          <w:szCs w:val="30"/>
        </w:rPr>
        <w:t>2024年度</w:t>
      </w:r>
      <w:r>
        <w:rPr>
          <w:rFonts w:ascii="Times New Roman" w:eastAsia="仿宋_GB2312"/>
          <w:b w:val="false"/>
          <w:sz w:val="30"/>
          <w:szCs w:val="30"/>
        </w:rPr>
        <w:t>部门决算政府性基金预算财政拨款</w:t>
      </w:r>
      <w:r>
        <w:rPr>
          <w:rFonts w:ascii="Times New Roman" w:eastAsia="仿宋_GB2312"/>
          <w:b w:val="false"/>
          <w:sz w:val="30"/>
          <w:szCs w:val="30"/>
        </w:rPr>
        <w:t>年初结转和结余</w:t>
      </w:r>
      <w:r>
        <w:rPr>
          <w:rFonts w:ascii="Times New Roman" w:eastAsia="仿宋_GB2312"/>
          <w:b w:val="false"/>
          <w:sz w:val="30"/>
          <w:szCs w:val="30"/>
        </w:rPr>
        <w:t>0.00</w:t>
      </w:r>
      <w:r>
        <w:rPr>
          <w:rFonts w:ascii="Times New Roman" w:eastAsia="仿宋_GB2312"/>
          <w:b w:val="false"/>
          <w:sz w:val="30"/>
          <w:szCs w:val="30"/>
        </w:rPr>
        <w:t>元，收入</w:t>
      </w:r>
      <w:r>
        <w:rPr>
          <w:rFonts w:ascii="Times New Roman" w:eastAsia="仿宋_GB2312"/>
          <w:b w:val="false"/>
          <w:sz w:val="30"/>
          <w:szCs w:val="30"/>
        </w:rPr>
        <w:t>38,168,100.00</w:t>
      </w:r>
      <w:r>
        <w:rPr>
          <w:rFonts w:ascii="Times New Roman" w:eastAsia="仿宋_GB2312"/>
          <w:b w:val="false"/>
          <w:sz w:val="30"/>
          <w:szCs w:val="30"/>
        </w:rPr>
        <w:t>元，支出</w:t>
      </w:r>
      <w:r>
        <w:rPr>
          <w:rFonts w:ascii="Times New Roman" w:eastAsia="仿宋_GB2312"/>
          <w:b w:val="false"/>
          <w:sz w:val="30"/>
          <w:szCs w:val="30"/>
        </w:rPr>
        <w:t>38,168,100.00</w:t>
      </w:r>
      <w:r>
        <w:rPr>
          <w:rFonts w:ascii="Times New Roman" w:eastAsia="仿宋_GB2312"/>
          <w:b w:val="false"/>
          <w:sz w:val="30"/>
          <w:szCs w:val="30"/>
        </w:rPr>
        <w:t>元，年末结转和结余</w:t>
      </w:r>
      <w:r>
        <w:rPr>
          <w:rFonts w:ascii="Times New Roman" w:eastAsia="仿宋_GB2312"/>
          <w:b w:val="false"/>
          <w:sz w:val="30"/>
          <w:szCs w:val="30"/>
        </w:rPr>
        <w:t>0.00</w:t>
      </w:r>
      <w:r>
        <w:rPr>
          <w:rFonts w:ascii="Times New Roman" w:eastAsia="仿宋_GB2312"/>
          <w:b w:val="false"/>
          <w:sz w:val="30"/>
          <w:szCs w:val="30"/>
        </w:rPr>
        <w:t>元。与2023年度相比，政府性基金预算财政拨款支出</w:t>
      </w:r>
      <w:r>
        <w:rPr>
          <w:rFonts w:ascii="Times New Roman" w:eastAsia="仿宋_GB2312"/>
          <w:b w:val="false"/>
          <w:sz w:val="30"/>
          <w:szCs w:val="30"/>
        </w:rPr>
        <w:t>减少</w:t>
      </w:r>
      <w:r>
        <w:rPr>
          <w:rFonts w:ascii="Times New Roman" w:eastAsia="仿宋_GB2312"/>
          <w:b w:val="false"/>
          <w:sz w:val="30"/>
          <w:szCs w:val="30"/>
        </w:rPr>
        <w:t>162,253,750.59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80.956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本年度东丽詹庄等七村村民还迁安置经济适用房项目海旭园预算资金减少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w:t>
      </w:r>
      <w:r>
        <w:rPr>
          <w:rFonts w:ascii="Times New Roman" w:eastAsia="仿宋_GB2312"/>
          <w:b w:val="false"/>
          <w:sz w:val="30"/>
          <w:szCs w:val="30"/>
        </w:rPr>
        <w:t>38,168,100.00</w:t>
      </w:r>
      <w:r>
        <w:rPr>
          <w:rFonts w:ascii="Times New Roman" w:eastAsia="仿宋_GB2312"/>
          <w:b w:val="false"/>
          <w:sz w:val="30"/>
          <w:szCs w:val="30"/>
        </w:rPr>
        <w:t>元，主要用于以下方面：</w:t>
      </w:r>
      <w:r>
        <w:rPr>
          <w:rFonts w:ascii="Times New Roman" w:eastAsia="仿宋_GB2312"/>
          <w:b w:val="false"/>
          <w:sz w:val="30"/>
          <w:szCs w:val="30"/>
        </w:rPr>
        <w:t>其他支出（类）38,168,100.00元，占100.000%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2024年度政府性基金预算财政拨款支出年初预算为</w:t>
      </w:r>
      <w:r>
        <w:rPr>
          <w:rFonts w:ascii="Times New Roman" w:eastAsia="仿宋_GB2312"/>
          <w:b w:val="false"/>
          <w:sz w:val="30"/>
          <w:szCs w:val="30"/>
        </w:rPr>
        <w:t>99,578,149.41</w:t>
      </w:r>
      <w:r>
        <w:rPr>
          <w:rFonts w:ascii="Times New Roman" w:eastAsia="仿宋_GB2312"/>
          <w:b w:val="false"/>
          <w:sz w:val="30"/>
          <w:szCs w:val="30"/>
        </w:rPr>
        <w:t>元，支出决算为</w:t>
      </w:r>
      <w:r>
        <w:rPr>
          <w:rFonts w:ascii="Times New Roman" w:eastAsia="仿宋_GB2312"/>
          <w:b w:val="false"/>
          <w:sz w:val="30"/>
          <w:szCs w:val="30"/>
        </w:rPr>
        <w:t>38,168,100.00</w:t>
      </w:r>
      <w:r>
        <w:rPr>
          <w:rFonts w:ascii="Times New Roman" w:eastAsia="仿宋_GB2312"/>
          <w:b w:val="false"/>
          <w:sz w:val="30"/>
          <w:szCs w:val="30"/>
        </w:rPr>
        <w:t>元，完成年初预算的</w:t>
      </w:r>
      <w:r>
        <w:rPr>
          <w:rFonts w:ascii="Times New Roman" w:eastAsia="仿宋_GB2312"/>
          <w:b w:val="false"/>
          <w:sz w:val="30"/>
          <w:szCs w:val="30"/>
        </w:rPr>
        <w:t>38.330</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其他支出</w:t>
      </w:r>
      <w:r>
        <w:rPr>
          <w:rFonts w:ascii="Times New Roman" w:eastAsia="仿宋_GB2312"/>
          <w:b w:val="false"/>
          <w:sz w:val="30"/>
          <w:szCs w:val="30"/>
        </w:rPr>
        <w:t>(类)</w:t>
      </w:r>
      <w:r>
        <w:rPr>
          <w:rFonts w:ascii="Times New Roman" w:eastAsia="仿宋_GB2312"/>
          <w:b w:val="false"/>
          <w:sz w:val="30"/>
          <w:szCs w:val="30"/>
        </w:rPr>
        <w:t>其他政府性基金及对应专项债务收入安排的支出</w:t>
      </w:r>
      <w:r>
        <w:rPr>
          <w:rFonts w:ascii="Times New Roman" w:eastAsia="仿宋_GB2312"/>
          <w:b w:val="false"/>
          <w:sz w:val="30"/>
          <w:szCs w:val="30"/>
        </w:rPr>
        <w:t>(款)</w:t>
      </w:r>
      <w:r>
        <w:rPr>
          <w:rFonts w:ascii="Times New Roman" w:eastAsia="仿宋_GB2312"/>
          <w:b w:val="false"/>
          <w:sz w:val="30"/>
          <w:szCs w:val="30"/>
        </w:rPr>
        <w:t>其他地方自行试点项目收益专项债券收入安排的支出</w:t>
      </w:r>
      <w:r>
        <w:rPr>
          <w:rFonts w:ascii="Times New Roman" w:eastAsia="仿宋_GB2312"/>
          <w:b w:val="false"/>
          <w:sz w:val="30"/>
          <w:szCs w:val="30"/>
        </w:rPr>
        <w:t>(项)年初预算为</w:t>
      </w:r>
      <w:r>
        <w:rPr>
          <w:rFonts w:ascii="Times New Roman" w:eastAsia="仿宋_GB2312"/>
          <w:b w:val="false"/>
          <w:sz w:val="30"/>
          <w:szCs w:val="30"/>
        </w:rPr>
        <w:t>99,578,149.41</w:t>
      </w:r>
      <w:r>
        <w:rPr>
          <w:rFonts w:ascii="Times New Roman" w:eastAsia="仿宋_GB2312"/>
          <w:b w:val="false"/>
          <w:sz w:val="30"/>
          <w:szCs w:val="30"/>
        </w:rPr>
        <w:t>元，支出决算为</w:t>
      </w:r>
      <w:r>
        <w:rPr>
          <w:rFonts w:ascii="Times New Roman" w:eastAsia="仿宋_GB2312"/>
          <w:b w:val="false"/>
          <w:sz w:val="30"/>
          <w:szCs w:val="30"/>
        </w:rPr>
        <w:t>38,168,100.00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38.330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本年度东丽詹庄等七村村民还迁安置经济适用房项目海旭园预算资金减少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47,512.55</w:t>
      </w:r>
      <w:r>
        <w:rPr>
          <w:rFonts w:ascii="Times New Roman" w:eastAsia="仿宋_GB2312"/>
          <w:b w:val="false"/>
          <w:sz w:val="30"/>
          <w:szCs w:val="30"/>
        </w:rPr>
        <w:t>元，支出决算</w:t>
      </w:r>
      <w:r>
        <w:rPr>
          <w:rFonts w:ascii="Times New Roman" w:eastAsia="仿宋_GB2312"/>
          <w:b w:val="false"/>
          <w:sz w:val="30"/>
          <w:szCs w:val="30"/>
        </w:rPr>
        <w:t>47,512.55</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286.73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0.600</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本年度产生公务用车运行费用减少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47,512.55</w:t>
      </w:r>
      <w:r>
        <w:rPr>
          <w:rFonts w:ascii="Times New Roman" w:eastAsia="仿宋_GB2312"/>
          <w:b w:val="false"/>
          <w:sz w:val="30"/>
          <w:szCs w:val="30"/>
        </w:rPr>
        <w:t>元，支出决算</w:t>
      </w:r>
      <w:r>
        <w:rPr>
          <w:rFonts w:ascii="Times New Roman" w:eastAsia="仿宋_GB2312"/>
          <w:b w:val="false"/>
          <w:sz w:val="30"/>
          <w:szCs w:val="30"/>
        </w:rPr>
        <w:t>47,512.55</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286.73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0.600</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本年度产生公务用车运行费用减少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47,512.55</w:t>
      </w:r>
      <w:r>
        <w:rPr>
          <w:rFonts w:ascii="Times New Roman" w:eastAsia="仿宋_GB2312"/>
          <w:b w:val="false"/>
          <w:sz w:val="30"/>
          <w:szCs w:val="30"/>
        </w:rPr>
        <w:t>元，支出决算</w:t>
      </w:r>
      <w:r>
        <w:rPr>
          <w:rFonts w:ascii="Times New Roman" w:eastAsia="仿宋_GB2312"/>
          <w:b w:val="false"/>
          <w:sz w:val="30"/>
          <w:szCs w:val="30"/>
        </w:rPr>
        <w:t>47,512.55</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286.73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0.600</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本年度产生公务用车运行费用减少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6</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天津市东丽区住房和建设委员会</w:t>
      </w:r>
      <w:r>
        <w:rPr>
          <w:rFonts w:ascii="Times New Roman" w:eastAsia="仿宋_GB2312"/>
          <w:b w:val="false"/>
          <w:sz w:val="30"/>
          <w:szCs w:val="30"/>
        </w:rPr>
        <w:t>2024年度机关运行经费年初预算</w:t>
      </w:r>
      <w:r>
        <w:rPr>
          <w:rFonts w:ascii="Times New Roman" w:eastAsia="仿宋_GB2312"/>
          <w:b w:val="false"/>
          <w:sz w:val="30"/>
          <w:szCs w:val="30"/>
        </w:rPr>
        <w:t>1,396,612.68</w:t>
      </w:r>
      <w:r>
        <w:rPr>
          <w:rFonts w:ascii="Times New Roman" w:eastAsia="仿宋_GB2312"/>
          <w:b w:val="false"/>
          <w:sz w:val="30"/>
          <w:szCs w:val="30"/>
        </w:rPr>
        <w:t>元，决算数</w:t>
      </w:r>
      <w:r>
        <w:rPr>
          <w:rFonts w:ascii="Times New Roman" w:eastAsia="仿宋_GB2312"/>
          <w:b w:val="false"/>
          <w:sz w:val="30"/>
          <w:szCs w:val="30"/>
        </w:rPr>
        <w:t>1,435,992.71</w:t>
      </w:r>
      <w:r>
        <w:rPr>
          <w:rFonts w:ascii="Times New Roman" w:eastAsia="仿宋_GB2312"/>
          <w:b w:val="false"/>
          <w:sz w:val="30"/>
          <w:szCs w:val="30"/>
        </w:rPr>
        <w:t>元，与年初预算相比</w:t>
      </w:r>
      <w:r>
        <w:rPr>
          <w:rFonts w:ascii="Times New Roman" w:eastAsia="仿宋_GB2312"/>
          <w:b w:val="false"/>
          <w:sz w:val="30"/>
          <w:szCs w:val="30"/>
        </w:rPr>
        <w:t>增加</w:t>
      </w:r>
      <w:r>
        <w:rPr>
          <w:rFonts w:ascii="Times New Roman" w:eastAsia="仿宋_GB2312"/>
          <w:b w:val="false"/>
          <w:sz w:val="30"/>
          <w:szCs w:val="30"/>
        </w:rPr>
        <w:t>39,380.03</w:t>
      </w:r>
      <w:r>
        <w:rPr>
          <w:rFonts w:ascii="Times New Roman" w:eastAsia="仿宋_GB2312"/>
          <w:b w:val="false"/>
          <w:sz w:val="30"/>
          <w:szCs w:val="30"/>
        </w:rPr>
        <w:t>元，完成年初预算的</w:t>
      </w:r>
      <w:r>
        <w:rPr>
          <w:rFonts w:ascii="Times New Roman" w:eastAsia="仿宋_GB2312"/>
          <w:b w:val="false"/>
          <w:sz w:val="30"/>
          <w:szCs w:val="30"/>
        </w:rPr>
        <w:t>102.820</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140,794.78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10.871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本年度增加电费和食堂经费</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w:t>
      </w:r>
      <w:r>
        <w:rPr>
          <w:rFonts w:ascii="Times New Roman" w:eastAsia="仿宋_GB2312"/>
          <w:b w:val="false"/>
          <w:sz w:val="30"/>
          <w:szCs w:val="30"/>
        </w:rPr>
        <w:t>2024年政府采购支出总额</w:t>
      </w:r>
      <w:r>
        <w:rPr>
          <w:rFonts w:ascii="Times New Roman" w:eastAsia="仿宋_GB2312"/>
          <w:b w:val="false"/>
          <w:sz w:val="30"/>
          <w:szCs w:val="30"/>
        </w:rPr>
        <w:t>1,423,129.00</w:t>
      </w:r>
      <w:r>
        <w:rPr>
          <w:rFonts w:ascii="Times New Roman" w:eastAsia="仿宋_GB2312"/>
          <w:b w:val="false"/>
          <w:sz w:val="30"/>
          <w:szCs w:val="30"/>
        </w:rPr>
        <w:t>元，其中：政府采购货物支出</w:t>
      </w:r>
      <w:r>
        <w:rPr>
          <w:rFonts w:ascii="Times New Roman" w:eastAsia="仿宋_GB2312"/>
          <w:b w:val="false"/>
          <w:sz w:val="30"/>
          <w:szCs w:val="30"/>
        </w:rPr>
        <w:t>5,129.00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1,418,000.00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1,423,129.00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1,423,129.00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天津市东丽区住房和建设委员会</w:t>
      </w:r>
      <w:r>
        <w:rPr>
          <w:rFonts w:ascii="Times New Roman" w:eastAsia="仿宋_GB2312"/>
          <w:b w:val="false"/>
          <w:sz w:val="30"/>
          <w:szCs w:val="30"/>
        </w:rPr>
        <w:t>共有车辆</w:t>
      </w:r>
      <w:r>
        <w:rPr>
          <w:rFonts w:ascii="Times New Roman" w:eastAsia="仿宋_GB2312"/>
          <w:b w:val="false"/>
          <w:sz w:val="30"/>
          <w:szCs w:val="30"/>
        </w:rPr>
        <w:t>12</w:t>
      </w:r>
      <w:r>
        <w:rPr>
          <w:rFonts w:ascii="Times New Roman" w:eastAsia="仿宋_GB2312"/>
          <w:b w:val="false"/>
          <w:sz w:val="30"/>
          <w:szCs w:val="30"/>
        </w:rPr>
        <w:t>辆，其中：</w:t>
      </w:r>
      <w:r>
        <w:rPr>
          <w:rFonts w:ascii="Times New Roman" w:eastAsia="仿宋_GB2312"/>
          <w:b w:val="false"/>
          <w:sz w:val="30"/>
          <w:szCs w:val="30"/>
        </w:rPr>
        <w:t>特种专业技术用车</w:t>
      </w:r>
      <w:r>
        <w:rPr>
          <w:rFonts w:ascii="Times New Roman" w:eastAsia="仿宋_GB2312"/>
          <w:b w:val="false"/>
          <w:sz w:val="30"/>
          <w:szCs w:val="30"/>
        </w:rPr>
        <w:t>5</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其他用车</w:t>
      </w:r>
      <w:r>
        <w:rPr>
          <w:rFonts w:ascii="Times New Roman" w:eastAsia="仿宋_GB2312"/>
          <w:b w:val="false"/>
          <w:sz w:val="30"/>
          <w:szCs w:val="30"/>
        </w:rPr>
        <w:t>7</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5辆多功能抑尘车和7辆一般公务用车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14:paraId="183888DA">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根据预算绩效管理要求，天津市东丽区住房和建设委员会2024年度已对30个项目开展绩效自评，涉及金额35989.951104万元，自评结果已随部门决算一并公开。</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本部门2024年度未开展部门评价。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天津市东丽区住房和建设委员会不属于乡、镇、街级单位，不涉及公开2024年教育、医疗卫生、社会保障和就业、住房保障、涉农补贴等民生支出情况。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A4F51-3E8E-49D6-9264-C6418EF9BF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371C6E-A316-45FC-AB03-BA5E2FD43334}"/>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96F3829D-4185-4D21-8DED-084B9ADFDF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6E66">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0</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