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Toc57020360"/>
      <w:bookmarkStart w:id="1" w:name="_Toc56581694"/>
    </w:p>
    <w:p/>
    <w:p/>
    <w:p/>
    <w:p>
      <w:pPr>
        <w:pStyle w:val="16"/>
        <w:rPr>
          <w:sz w:val="52"/>
          <w:szCs w:val="52"/>
        </w:rPr>
      </w:pPr>
      <w:bookmarkStart w:id="2" w:name="_Toc58402270"/>
      <w:bookmarkStart w:id="3" w:name="_Toc58255379"/>
      <w:bookmarkStart w:id="4" w:name="_Toc58352017"/>
      <w:bookmarkStart w:id="5" w:name="_Toc58082403"/>
      <w:bookmarkStart w:id="6" w:name="_Toc58935945"/>
      <w:bookmarkStart w:id="7" w:name="_Toc58353657"/>
      <w:bookmarkStart w:id="8" w:name="_Toc58936031"/>
      <w:bookmarkStart w:id="9" w:name="_Toc59468231"/>
      <w:r>
        <w:rPr>
          <w:rFonts w:hint="eastAsia"/>
          <w:sz w:val="52"/>
          <w:szCs w:val="52"/>
        </w:rPr>
        <w:t>东丽区教育</w:t>
      </w:r>
      <w:r>
        <w:rPr>
          <w:sz w:val="52"/>
          <w:szCs w:val="52"/>
        </w:rPr>
        <w:t>现代化</w:t>
      </w:r>
      <w:bookmarkEnd w:id="2"/>
      <w:bookmarkEnd w:id="3"/>
      <w:bookmarkEnd w:id="4"/>
      <w:bookmarkEnd w:id="5"/>
      <w:bookmarkEnd w:id="6"/>
      <w:bookmarkEnd w:id="7"/>
      <w:bookmarkEnd w:id="8"/>
      <w:bookmarkEnd w:id="9"/>
      <w:bookmarkStart w:id="10" w:name="_Toc58082404"/>
      <w:bookmarkStart w:id="11" w:name="_Toc58255380"/>
      <w:bookmarkStart w:id="12" w:name="_Toc58935946"/>
      <w:bookmarkStart w:id="13" w:name="_Toc59468232"/>
      <w:bookmarkStart w:id="14" w:name="_Toc58936032"/>
      <w:bookmarkStart w:id="15" w:name="_Toc58353658"/>
      <w:bookmarkStart w:id="16" w:name="_Toc58402271"/>
      <w:bookmarkStart w:id="17" w:name="_Toc58352018"/>
      <w:r>
        <w:rPr>
          <w:sz w:val="52"/>
          <w:szCs w:val="52"/>
        </w:rPr>
        <w:br w:type="textWrapping"/>
      </w:r>
      <w:r>
        <w:rPr>
          <w:rFonts w:hint="eastAsia"/>
          <w:sz w:val="52"/>
          <w:szCs w:val="52"/>
        </w:rPr>
        <w:t>“十四五”规划</w:t>
      </w:r>
      <w:bookmarkEnd w:id="10"/>
      <w:bookmarkEnd w:id="11"/>
      <w:bookmarkEnd w:id="12"/>
      <w:bookmarkEnd w:id="13"/>
      <w:bookmarkEnd w:id="14"/>
      <w:bookmarkEnd w:id="15"/>
      <w:bookmarkEnd w:id="16"/>
      <w:bookmarkEnd w:id="17"/>
    </w:p>
    <w:p>
      <w:pPr>
        <w:ind w:firstLine="0" w:firstLineChars="0"/>
        <w:jc w:val="center"/>
        <w:rPr>
          <w:sz w:val="30"/>
          <w:szCs w:val="30"/>
        </w:rPr>
      </w:pPr>
      <w:r>
        <w:rPr>
          <w:rFonts w:hint="eastAsia"/>
          <w:sz w:val="30"/>
          <w:szCs w:val="30"/>
        </w:rPr>
        <w:t xml:space="preserve">   </w:t>
      </w:r>
    </w:p>
    <w:p>
      <w:pPr>
        <w:ind w:firstLine="0" w:firstLineChars="0"/>
        <w:jc w:val="center"/>
        <w:rPr>
          <w:sz w:val="30"/>
          <w:szCs w:val="30"/>
        </w:rPr>
      </w:pPr>
    </w:p>
    <w:p>
      <w:pPr>
        <w:ind w:firstLine="0" w:firstLineChars="0"/>
        <w:jc w:val="center"/>
        <w:rPr>
          <w:sz w:val="30"/>
          <w:szCs w:val="30"/>
        </w:rPr>
      </w:pPr>
    </w:p>
    <w:p>
      <w:pPr>
        <w:ind w:firstLine="0" w:firstLineChars="0"/>
        <w:jc w:val="center"/>
        <w:rPr>
          <w:sz w:val="30"/>
          <w:szCs w:val="30"/>
        </w:rPr>
      </w:pPr>
    </w:p>
    <w:p>
      <w:pPr>
        <w:ind w:firstLine="0" w:firstLineChars="0"/>
        <w:jc w:val="center"/>
        <w:rPr>
          <w:sz w:val="30"/>
          <w:szCs w:val="30"/>
        </w:rPr>
      </w:pPr>
    </w:p>
    <w:p>
      <w:pPr>
        <w:ind w:firstLine="0" w:firstLineChars="0"/>
        <w:jc w:val="center"/>
        <w:rPr>
          <w:sz w:val="30"/>
          <w:szCs w:val="30"/>
        </w:rPr>
      </w:pPr>
    </w:p>
    <w:p>
      <w:pPr>
        <w:ind w:firstLine="0" w:firstLineChars="0"/>
        <w:jc w:val="center"/>
        <w:rPr>
          <w:sz w:val="30"/>
          <w:szCs w:val="30"/>
        </w:rPr>
      </w:pPr>
    </w:p>
    <w:p>
      <w:pPr>
        <w:ind w:firstLine="0" w:firstLineChars="0"/>
        <w:jc w:val="center"/>
        <w:rPr>
          <w:sz w:val="30"/>
          <w:szCs w:val="30"/>
        </w:rPr>
      </w:pPr>
    </w:p>
    <w:p>
      <w:pPr>
        <w:ind w:firstLine="0" w:firstLineChars="0"/>
        <w:jc w:val="center"/>
        <w:rPr>
          <w:sz w:val="30"/>
          <w:szCs w:val="30"/>
        </w:rPr>
      </w:pPr>
    </w:p>
    <w:p>
      <w:pPr>
        <w:ind w:firstLine="0" w:firstLineChars="0"/>
        <w:jc w:val="center"/>
        <w:rPr>
          <w:sz w:val="30"/>
          <w:szCs w:val="30"/>
        </w:rPr>
      </w:pPr>
    </w:p>
    <w:p>
      <w:pPr>
        <w:ind w:firstLine="0" w:firstLineChars="0"/>
        <w:jc w:val="center"/>
        <w:rPr>
          <w:sz w:val="30"/>
          <w:szCs w:val="30"/>
        </w:rPr>
      </w:pPr>
    </w:p>
    <w:p>
      <w:pPr>
        <w:ind w:firstLine="0" w:firstLineChars="0"/>
        <w:jc w:val="center"/>
        <w:rPr>
          <w:sz w:val="30"/>
          <w:szCs w:val="30"/>
        </w:rPr>
      </w:pPr>
      <w:r>
        <w:rPr>
          <w:rFonts w:hint="eastAsia"/>
          <w:sz w:val="30"/>
          <w:szCs w:val="30"/>
        </w:rPr>
        <w:t>教育部学校规划建设发展中心</w:t>
      </w:r>
    </w:p>
    <w:p>
      <w:pPr>
        <w:ind w:firstLine="0" w:firstLineChars="0"/>
        <w:jc w:val="center"/>
        <w:rPr>
          <w:sz w:val="30"/>
          <w:szCs w:val="30"/>
        </w:rPr>
      </w:pPr>
      <w:r>
        <w:rPr>
          <w:rFonts w:hint="eastAsia"/>
          <w:sz w:val="30"/>
          <w:szCs w:val="30"/>
        </w:rPr>
        <w:t>天津市东丽区教育局</w:t>
      </w:r>
    </w:p>
    <w:p>
      <w:pPr>
        <w:ind w:firstLine="0" w:firstLineChars="0"/>
        <w:jc w:val="center"/>
        <w:rPr>
          <w:sz w:val="30"/>
          <w:szCs w:val="30"/>
        </w:rPr>
      </w:pPr>
      <w:r>
        <w:rPr>
          <w:rFonts w:hint="eastAsia"/>
          <w:sz w:val="30"/>
          <w:szCs w:val="30"/>
        </w:rPr>
        <w:t>2021年</w:t>
      </w:r>
      <w:r>
        <w:rPr>
          <w:rFonts w:hint="eastAsia"/>
          <w:sz w:val="30"/>
          <w:szCs w:val="30"/>
          <w:lang w:val="en-US" w:eastAsia="zh-CN"/>
        </w:rPr>
        <w:t>6</w:t>
      </w:r>
      <w:bookmarkStart w:id="201" w:name="_GoBack"/>
      <w:bookmarkEnd w:id="201"/>
      <w:r>
        <w:rPr>
          <w:rFonts w:hint="eastAsia"/>
          <w:sz w:val="30"/>
          <w:szCs w:val="30"/>
        </w:rPr>
        <w:t>月</w:t>
      </w:r>
    </w:p>
    <w:p>
      <w:pPr>
        <w:ind w:firstLine="0" w:firstLineChars="0"/>
        <w:jc w:val="center"/>
        <w:rPr>
          <w:sz w:val="30"/>
          <w:szCs w:val="30"/>
        </w:rPr>
      </w:pPr>
    </w:p>
    <w:p>
      <w:pPr>
        <w:ind w:firstLine="420"/>
      </w:pPr>
      <w:r>
        <w:rPr>
          <w:sz w:val="21"/>
        </w:rPr>
        <w:pict>
          <v:shape id="文本框 13" o:spid="_x0000_s1026" o:spt="202" type="#_x0000_t202" style="position:absolute;left:0pt;margin-left:203.6pt;margin-top:20pt;height:36.15pt;width:184.7pt;z-index:251660288;mso-width-relative:page;mso-height-relative:page;" filled="f" stroked="f" coordsize="21600,21600" o:gfxdata="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Gm/ATaAAAACgEAAA8AAAAAAAAAAQAgAAAA&#10;IgAAAGRycy9kb3ducmV2LnhtbFBLAQIUABQAAAAIAIdO4kCqD6b6QgIAAHYEAAAOAAAAAAAAAAEA&#10;IAAAACkBAABkcnMvZTJvRG9jLnhtbFBLBQYAAAAABgAGAFkBAADdBQAAAAA=&#10;">
            <v:path/>
            <v:fill on="f" focussize="0,0"/>
            <v:stroke on="f" weight="0.5pt" joinstyle="miter"/>
            <v:imagedata o:title=""/>
            <o:lock v:ext="edit"/>
            <v:textbox>
              <w:txbxContent>
                <w:p>
                  <w:pPr>
                    <w:rPr>
                      <w:szCs w:val="24"/>
                    </w:rPr>
                  </w:pPr>
                </w:p>
              </w:txbxContent>
            </v:textbox>
          </v:shape>
        </w:pict>
      </w:r>
    </w:p>
    <w:p/>
    <w:p/>
    <w:p>
      <w:pPr>
        <w:ind w:firstLine="0" w:firstLineChars="0"/>
      </w:pPr>
    </w:p>
    <w:p>
      <w:p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0"/>
          <w:cols w:space="425" w:num="1"/>
          <w:docGrid w:type="lines" w:linePitch="312" w:charSpace="0"/>
        </w:sectPr>
      </w:pPr>
    </w:p>
    <w:bookmarkEnd w:id="0"/>
    <w:p>
      <w:pPr>
        <w:pStyle w:val="11"/>
        <w:tabs>
          <w:tab w:val="right" w:leader="dot" w:pos="8296"/>
        </w:tabs>
        <w:ind w:firstLine="0" w:firstLineChars="0"/>
        <w:jc w:val="center"/>
        <w:rPr>
          <w:rFonts w:ascii="黑体" w:hAnsi="黑体" w:eastAsia="黑体" w:cstheme="minorBidi"/>
          <w:sz w:val="21"/>
        </w:rPr>
      </w:pPr>
      <w:r>
        <w:rPr>
          <w:rFonts w:hint="eastAsia" w:ascii="黑体" w:hAnsi="黑体" w:eastAsia="黑体"/>
          <w:sz w:val="36"/>
        </w:rPr>
        <w:t>目  录</w:t>
      </w:r>
      <w:r>
        <w:rPr>
          <w:rFonts w:ascii="黑体" w:hAnsi="黑体" w:eastAsia="黑体"/>
          <w:szCs w:val="32"/>
        </w:rPr>
        <w:fldChar w:fldCharType="begin"/>
      </w:r>
      <w:r>
        <w:rPr>
          <w:rFonts w:ascii="黑体" w:hAnsi="黑体" w:eastAsia="黑体"/>
          <w:szCs w:val="32"/>
        </w:rPr>
        <w:instrText xml:space="preserve"> TOC \o "1-2" \h \z \u </w:instrText>
      </w:r>
      <w:r>
        <w:rPr>
          <w:rFonts w:ascii="黑体" w:hAnsi="黑体" w:eastAsia="黑体"/>
          <w:szCs w:val="32"/>
        </w:rPr>
        <w:fldChar w:fldCharType="separate"/>
      </w:r>
    </w:p>
    <w:p>
      <w:pPr>
        <w:pStyle w:val="11"/>
        <w:tabs>
          <w:tab w:val="right" w:leader="dot" w:pos="8296"/>
        </w:tabs>
        <w:ind w:firstLine="0" w:firstLineChars="0"/>
        <w:rPr>
          <w:rFonts w:asciiTheme="minorHAnsi" w:hAnsiTheme="minorHAnsi" w:eastAsiaTheme="minorEastAsia" w:cstheme="minorBidi"/>
          <w:sz w:val="21"/>
        </w:rPr>
      </w:pPr>
      <w:r>
        <w:fldChar w:fldCharType="begin"/>
      </w:r>
      <w:r>
        <w:instrText xml:space="preserve"> HYPERLINK \l "_Toc59468234" </w:instrText>
      </w:r>
      <w:r>
        <w:fldChar w:fldCharType="separate"/>
      </w:r>
      <w:r>
        <w:rPr>
          <w:rStyle w:val="22"/>
        </w:rPr>
        <w:t>一、发展基础</w:t>
      </w:r>
      <w:r>
        <w:tab/>
      </w:r>
      <w:r>
        <w:fldChar w:fldCharType="begin"/>
      </w:r>
      <w:r>
        <w:instrText xml:space="preserve"> PAGEREF _Toc59468234 \h </w:instrText>
      </w:r>
      <w:r>
        <w:fldChar w:fldCharType="separate"/>
      </w:r>
      <w:r>
        <w:t>- 1 -</w:t>
      </w:r>
      <w:r>
        <w:fldChar w:fldCharType="end"/>
      </w:r>
      <w:r>
        <w:fldChar w:fldCharType="end"/>
      </w:r>
    </w:p>
    <w:p>
      <w:pPr>
        <w:pStyle w:val="14"/>
        <w:tabs>
          <w:tab w:val="right" w:leader="dot" w:pos="8296"/>
        </w:tabs>
        <w:ind w:left="640" w:firstLine="0" w:firstLineChars="0"/>
        <w:rPr>
          <w:rFonts w:asciiTheme="minorHAnsi" w:hAnsiTheme="minorHAnsi" w:eastAsiaTheme="minorEastAsia" w:cstheme="minorBidi"/>
          <w:sz w:val="21"/>
        </w:rPr>
      </w:pPr>
      <w:r>
        <w:fldChar w:fldCharType="begin"/>
      </w:r>
      <w:r>
        <w:instrText xml:space="preserve"> HYPERLINK \l "_Toc59468235" </w:instrText>
      </w:r>
      <w:r>
        <w:fldChar w:fldCharType="separate"/>
      </w:r>
      <w:r>
        <w:rPr>
          <w:rStyle w:val="22"/>
        </w:rPr>
        <w:t>（一）主要成绩</w:t>
      </w:r>
      <w:r>
        <w:tab/>
      </w:r>
      <w:r>
        <w:fldChar w:fldCharType="begin"/>
      </w:r>
      <w:r>
        <w:instrText xml:space="preserve"> PAGEREF _Toc59468235 \h </w:instrText>
      </w:r>
      <w:r>
        <w:fldChar w:fldCharType="separate"/>
      </w:r>
      <w:r>
        <w:t>- 1 -</w:t>
      </w:r>
      <w:r>
        <w:fldChar w:fldCharType="end"/>
      </w:r>
      <w:r>
        <w:fldChar w:fldCharType="end"/>
      </w:r>
    </w:p>
    <w:p>
      <w:pPr>
        <w:pStyle w:val="14"/>
        <w:tabs>
          <w:tab w:val="right" w:leader="dot" w:pos="8296"/>
        </w:tabs>
        <w:ind w:left="640" w:firstLine="0" w:firstLineChars="0"/>
        <w:rPr>
          <w:rFonts w:asciiTheme="minorHAnsi" w:hAnsiTheme="minorHAnsi" w:eastAsiaTheme="minorEastAsia" w:cstheme="minorBidi"/>
          <w:sz w:val="21"/>
        </w:rPr>
      </w:pPr>
      <w:r>
        <w:fldChar w:fldCharType="begin"/>
      </w:r>
      <w:r>
        <w:instrText xml:space="preserve"> HYPERLINK \l "_Toc59468236" </w:instrText>
      </w:r>
      <w:r>
        <w:fldChar w:fldCharType="separate"/>
      </w:r>
      <w:r>
        <w:rPr>
          <w:rStyle w:val="22"/>
        </w:rPr>
        <w:t>（二）面临形势</w:t>
      </w:r>
      <w:r>
        <w:tab/>
      </w:r>
      <w:r>
        <w:fldChar w:fldCharType="begin"/>
      </w:r>
      <w:r>
        <w:instrText xml:space="preserve"> PAGEREF _Toc59468236 \h </w:instrText>
      </w:r>
      <w:r>
        <w:fldChar w:fldCharType="separate"/>
      </w:r>
      <w:r>
        <w:t>- 3 -</w:t>
      </w:r>
      <w:r>
        <w:fldChar w:fldCharType="end"/>
      </w:r>
      <w:r>
        <w:fldChar w:fldCharType="end"/>
      </w:r>
    </w:p>
    <w:p>
      <w:pPr>
        <w:pStyle w:val="11"/>
        <w:tabs>
          <w:tab w:val="right" w:leader="dot" w:pos="8296"/>
        </w:tabs>
        <w:ind w:firstLine="0" w:firstLineChars="0"/>
        <w:rPr>
          <w:rFonts w:asciiTheme="minorHAnsi" w:hAnsiTheme="minorHAnsi" w:eastAsiaTheme="minorEastAsia" w:cstheme="minorBidi"/>
          <w:sz w:val="21"/>
        </w:rPr>
      </w:pPr>
      <w:r>
        <w:fldChar w:fldCharType="begin"/>
      </w:r>
      <w:r>
        <w:instrText xml:space="preserve"> HYPERLINK \l "_Toc59468237" </w:instrText>
      </w:r>
      <w:r>
        <w:fldChar w:fldCharType="separate"/>
      </w:r>
      <w:r>
        <w:rPr>
          <w:rStyle w:val="22"/>
        </w:rPr>
        <w:t>二、总体要求</w:t>
      </w:r>
      <w:r>
        <w:tab/>
      </w:r>
      <w:r>
        <w:fldChar w:fldCharType="begin"/>
      </w:r>
      <w:r>
        <w:instrText xml:space="preserve"> PAGEREF _Toc59468237 \h </w:instrText>
      </w:r>
      <w:r>
        <w:fldChar w:fldCharType="separate"/>
      </w:r>
      <w:r>
        <w:t>- 4 -</w:t>
      </w:r>
      <w:r>
        <w:fldChar w:fldCharType="end"/>
      </w:r>
      <w:r>
        <w:fldChar w:fldCharType="end"/>
      </w:r>
    </w:p>
    <w:p>
      <w:pPr>
        <w:pStyle w:val="14"/>
        <w:tabs>
          <w:tab w:val="right" w:leader="dot" w:pos="8296"/>
        </w:tabs>
        <w:ind w:left="640" w:firstLine="0" w:firstLineChars="0"/>
        <w:rPr>
          <w:rFonts w:asciiTheme="minorHAnsi" w:hAnsiTheme="minorHAnsi" w:eastAsiaTheme="minorEastAsia" w:cstheme="minorBidi"/>
          <w:sz w:val="21"/>
        </w:rPr>
      </w:pPr>
      <w:r>
        <w:fldChar w:fldCharType="begin"/>
      </w:r>
      <w:r>
        <w:instrText xml:space="preserve"> HYPERLINK \l "_Toc59468238" </w:instrText>
      </w:r>
      <w:r>
        <w:fldChar w:fldCharType="separate"/>
      </w:r>
      <w:r>
        <w:rPr>
          <w:rStyle w:val="22"/>
        </w:rPr>
        <w:t>（一）指导思想</w:t>
      </w:r>
      <w:r>
        <w:tab/>
      </w:r>
      <w:r>
        <w:fldChar w:fldCharType="begin"/>
      </w:r>
      <w:r>
        <w:instrText xml:space="preserve"> PAGEREF _Toc59468238 \h </w:instrText>
      </w:r>
      <w:r>
        <w:fldChar w:fldCharType="separate"/>
      </w:r>
      <w:r>
        <w:t>- 4 -</w:t>
      </w:r>
      <w:r>
        <w:fldChar w:fldCharType="end"/>
      </w:r>
      <w:r>
        <w:fldChar w:fldCharType="end"/>
      </w:r>
    </w:p>
    <w:p>
      <w:pPr>
        <w:pStyle w:val="14"/>
        <w:tabs>
          <w:tab w:val="right" w:leader="dot" w:pos="8296"/>
        </w:tabs>
        <w:ind w:left="640" w:firstLine="0" w:firstLineChars="0"/>
        <w:rPr>
          <w:rFonts w:asciiTheme="minorHAnsi" w:hAnsiTheme="minorHAnsi" w:eastAsiaTheme="minorEastAsia" w:cstheme="minorBidi"/>
          <w:sz w:val="21"/>
        </w:rPr>
      </w:pPr>
      <w:r>
        <w:fldChar w:fldCharType="begin"/>
      </w:r>
      <w:r>
        <w:instrText xml:space="preserve"> HYPERLINK \l "_Toc59468239" </w:instrText>
      </w:r>
      <w:r>
        <w:fldChar w:fldCharType="separate"/>
      </w:r>
      <w:r>
        <w:rPr>
          <w:rStyle w:val="22"/>
        </w:rPr>
        <w:t>（二）战略目标</w:t>
      </w:r>
      <w:r>
        <w:tab/>
      </w:r>
      <w:r>
        <w:fldChar w:fldCharType="begin"/>
      </w:r>
      <w:r>
        <w:instrText xml:space="preserve"> PAGEREF _Toc59468239 \h </w:instrText>
      </w:r>
      <w:r>
        <w:fldChar w:fldCharType="separate"/>
      </w:r>
      <w:r>
        <w:t>- 4 -</w:t>
      </w:r>
      <w:r>
        <w:fldChar w:fldCharType="end"/>
      </w:r>
      <w:r>
        <w:fldChar w:fldCharType="end"/>
      </w:r>
    </w:p>
    <w:p>
      <w:pPr>
        <w:pStyle w:val="14"/>
        <w:tabs>
          <w:tab w:val="right" w:leader="dot" w:pos="8296"/>
        </w:tabs>
        <w:ind w:left="640" w:firstLine="0" w:firstLineChars="0"/>
        <w:rPr>
          <w:rFonts w:asciiTheme="minorHAnsi" w:hAnsiTheme="minorHAnsi" w:eastAsiaTheme="minorEastAsia" w:cstheme="minorBidi"/>
          <w:sz w:val="21"/>
        </w:rPr>
      </w:pPr>
      <w:r>
        <w:fldChar w:fldCharType="begin"/>
      </w:r>
      <w:r>
        <w:instrText xml:space="preserve"> HYPERLINK \l "_Toc59468240" </w:instrText>
      </w:r>
      <w:r>
        <w:fldChar w:fldCharType="separate"/>
      </w:r>
      <w:r>
        <w:rPr>
          <w:rStyle w:val="22"/>
        </w:rPr>
        <w:t>（三）战略重点</w:t>
      </w:r>
      <w:r>
        <w:tab/>
      </w:r>
      <w:r>
        <w:fldChar w:fldCharType="begin"/>
      </w:r>
      <w:r>
        <w:instrText xml:space="preserve"> PAGEREF _Toc59468240 \h </w:instrText>
      </w:r>
      <w:r>
        <w:fldChar w:fldCharType="separate"/>
      </w:r>
      <w:r>
        <w:t>- 5 -</w:t>
      </w:r>
      <w:r>
        <w:fldChar w:fldCharType="end"/>
      </w:r>
      <w:r>
        <w:fldChar w:fldCharType="end"/>
      </w:r>
    </w:p>
    <w:p>
      <w:pPr>
        <w:pStyle w:val="14"/>
        <w:tabs>
          <w:tab w:val="right" w:leader="dot" w:pos="8296"/>
        </w:tabs>
        <w:ind w:left="640" w:firstLine="0" w:firstLineChars="0"/>
        <w:rPr>
          <w:rFonts w:asciiTheme="minorHAnsi" w:hAnsiTheme="minorHAnsi" w:eastAsiaTheme="minorEastAsia" w:cstheme="minorBidi"/>
          <w:sz w:val="21"/>
        </w:rPr>
      </w:pPr>
      <w:r>
        <w:fldChar w:fldCharType="begin"/>
      </w:r>
      <w:r>
        <w:instrText xml:space="preserve"> HYPERLINK \l "_Toc59468241" </w:instrText>
      </w:r>
      <w:r>
        <w:fldChar w:fldCharType="separate"/>
      </w:r>
      <w:r>
        <w:rPr>
          <w:rStyle w:val="22"/>
        </w:rPr>
        <w:t>（四）发展目标</w:t>
      </w:r>
      <w:r>
        <w:tab/>
      </w:r>
      <w:r>
        <w:fldChar w:fldCharType="begin"/>
      </w:r>
      <w:r>
        <w:instrText xml:space="preserve"> PAGEREF _Toc59468241 \h </w:instrText>
      </w:r>
      <w:r>
        <w:fldChar w:fldCharType="separate"/>
      </w:r>
      <w:r>
        <w:t>- 6 -</w:t>
      </w:r>
      <w:r>
        <w:fldChar w:fldCharType="end"/>
      </w:r>
      <w:r>
        <w:fldChar w:fldCharType="end"/>
      </w:r>
    </w:p>
    <w:p>
      <w:pPr>
        <w:pStyle w:val="11"/>
        <w:tabs>
          <w:tab w:val="right" w:leader="dot" w:pos="8296"/>
        </w:tabs>
        <w:ind w:firstLine="0" w:firstLineChars="0"/>
        <w:rPr>
          <w:rFonts w:asciiTheme="minorHAnsi" w:hAnsiTheme="minorHAnsi" w:eastAsiaTheme="minorEastAsia" w:cstheme="minorBidi"/>
          <w:sz w:val="21"/>
        </w:rPr>
      </w:pPr>
      <w:r>
        <w:fldChar w:fldCharType="begin"/>
      </w:r>
      <w:r>
        <w:instrText xml:space="preserve"> HYPERLINK \l "_Toc59468242" </w:instrText>
      </w:r>
      <w:r>
        <w:fldChar w:fldCharType="separate"/>
      </w:r>
      <w:r>
        <w:rPr>
          <w:rStyle w:val="22"/>
        </w:rPr>
        <w:t>三、建设绿色高质量现代化教育强区</w:t>
      </w:r>
      <w:r>
        <w:tab/>
      </w:r>
      <w:r>
        <w:fldChar w:fldCharType="begin"/>
      </w:r>
      <w:r>
        <w:instrText xml:space="preserve"> PAGEREF _Toc59468242 \h </w:instrText>
      </w:r>
      <w:r>
        <w:fldChar w:fldCharType="separate"/>
      </w:r>
      <w:r>
        <w:t>- 8 -</w:t>
      </w:r>
      <w:r>
        <w:fldChar w:fldCharType="end"/>
      </w:r>
      <w:r>
        <w:fldChar w:fldCharType="end"/>
      </w:r>
    </w:p>
    <w:p>
      <w:pPr>
        <w:pStyle w:val="14"/>
        <w:tabs>
          <w:tab w:val="right" w:leader="dot" w:pos="8296"/>
        </w:tabs>
        <w:ind w:left="640" w:firstLine="0" w:firstLineChars="0"/>
        <w:rPr>
          <w:rFonts w:asciiTheme="minorHAnsi" w:hAnsiTheme="minorHAnsi" w:eastAsiaTheme="minorEastAsia" w:cstheme="minorBidi"/>
          <w:sz w:val="21"/>
        </w:rPr>
      </w:pPr>
      <w:r>
        <w:fldChar w:fldCharType="begin"/>
      </w:r>
      <w:r>
        <w:instrText xml:space="preserve"> HYPERLINK \l "_Toc59468243" </w:instrText>
      </w:r>
      <w:r>
        <w:fldChar w:fldCharType="separate"/>
      </w:r>
      <w:r>
        <w:rPr>
          <w:rStyle w:val="22"/>
        </w:rPr>
        <w:t>（一）切实加强党对教育的全面领导</w:t>
      </w:r>
      <w:r>
        <w:tab/>
      </w:r>
      <w:r>
        <w:fldChar w:fldCharType="begin"/>
      </w:r>
      <w:r>
        <w:instrText xml:space="preserve"> PAGEREF _Toc59468243 \h </w:instrText>
      </w:r>
      <w:r>
        <w:fldChar w:fldCharType="separate"/>
      </w:r>
      <w:r>
        <w:t>- 8 -</w:t>
      </w:r>
      <w:r>
        <w:fldChar w:fldCharType="end"/>
      </w:r>
      <w:r>
        <w:fldChar w:fldCharType="end"/>
      </w:r>
    </w:p>
    <w:p>
      <w:pPr>
        <w:pStyle w:val="14"/>
        <w:tabs>
          <w:tab w:val="right" w:leader="dot" w:pos="8296"/>
        </w:tabs>
        <w:ind w:left="640" w:firstLine="0" w:firstLineChars="0"/>
        <w:rPr>
          <w:rFonts w:asciiTheme="minorHAnsi" w:hAnsiTheme="minorHAnsi" w:eastAsiaTheme="minorEastAsia" w:cstheme="minorBidi"/>
          <w:sz w:val="21"/>
        </w:rPr>
      </w:pPr>
      <w:r>
        <w:fldChar w:fldCharType="begin"/>
      </w:r>
      <w:r>
        <w:instrText xml:space="preserve"> HYPERLINK \l "_Toc59468244" </w:instrText>
      </w:r>
      <w:r>
        <w:fldChar w:fldCharType="separate"/>
      </w:r>
      <w:r>
        <w:rPr>
          <w:rStyle w:val="22"/>
        </w:rPr>
        <w:t>（二）</w:t>
      </w:r>
      <w:r>
        <w:rPr>
          <w:rStyle w:val="22"/>
          <w:rFonts w:hint="eastAsia"/>
        </w:rPr>
        <w:t>全面落实新时代</w:t>
      </w:r>
      <w:r>
        <w:rPr>
          <w:rStyle w:val="22"/>
        </w:rPr>
        <w:t>立德树人根本</w:t>
      </w:r>
      <w:r>
        <w:rPr>
          <w:rStyle w:val="22"/>
          <w:rFonts w:hint="eastAsia"/>
        </w:rPr>
        <w:t>任务</w:t>
      </w:r>
      <w:r>
        <w:tab/>
      </w:r>
      <w:r>
        <w:fldChar w:fldCharType="begin"/>
      </w:r>
      <w:r>
        <w:instrText xml:space="preserve"> PAGEREF _Toc59468244 \h </w:instrText>
      </w:r>
      <w:r>
        <w:fldChar w:fldCharType="separate"/>
      </w:r>
      <w:r>
        <w:t>- 10 -</w:t>
      </w:r>
      <w:r>
        <w:fldChar w:fldCharType="end"/>
      </w:r>
      <w:r>
        <w:fldChar w:fldCharType="end"/>
      </w:r>
    </w:p>
    <w:p>
      <w:pPr>
        <w:pStyle w:val="14"/>
        <w:tabs>
          <w:tab w:val="right" w:leader="dot" w:pos="8296"/>
        </w:tabs>
        <w:ind w:left="640" w:firstLine="0" w:firstLineChars="0"/>
        <w:rPr>
          <w:rFonts w:asciiTheme="minorHAnsi" w:hAnsiTheme="minorHAnsi" w:eastAsiaTheme="minorEastAsia" w:cstheme="minorBidi"/>
          <w:sz w:val="21"/>
        </w:rPr>
      </w:pPr>
      <w:r>
        <w:fldChar w:fldCharType="begin"/>
      </w:r>
      <w:r>
        <w:instrText xml:space="preserve"> HYPERLINK \l "_Toc59468245" </w:instrText>
      </w:r>
      <w:r>
        <w:fldChar w:fldCharType="separate"/>
      </w:r>
      <w:r>
        <w:rPr>
          <w:rStyle w:val="22"/>
        </w:rPr>
        <w:t>（三）完善普惠性学前教育保障机制</w:t>
      </w:r>
      <w:r>
        <w:tab/>
      </w:r>
      <w:r>
        <w:fldChar w:fldCharType="begin"/>
      </w:r>
      <w:r>
        <w:instrText xml:space="preserve"> PAGEREF _Toc59468245 \h </w:instrText>
      </w:r>
      <w:r>
        <w:fldChar w:fldCharType="separate"/>
      </w:r>
      <w:r>
        <w:t>- 19 -</w:t>
      </w:r>
      <w:r>
        <w:fldChar w:fldCharType="end"/>
      </w:r>
      <w:r>
        <w:fldChar w:fldCharType="end"/>
      </w:r>
    </w:p>
    <w:p>
      <w:pPr>
        <w:pStyle w:val="14"/>
        <w:tabs>
          <w:tab w:val="right" w:leader="dot" w:pos="8296"/>
        </w:tabs>
        <w:ind w:left="640" w:firstLine="0" w:firstLineChars="0"/>
        <w:rPr>
          <w:rFonts w:asciiTheme="minorHAnsi" w:hAnsiTheme="minorHAnsi" w:eastAsiaTheme="minorEastAsia" w:cstheme="minorBidi"/>
          <w:sz w:val="21"/>
        </w:rPr>
      </w:pPr>
      <w:r>
        <w:fldChar w:fldCharType="begin"/>
      </w:r>
      <w:r>
        <w:instrText xml:space="preserve"> HYPERLINK \l "_Toc59468246" </w:instrText>
      </w:r>
      <w:r>
        <w:fldChar w:fldCharType="separate"/>
      </w:r>
      <w:r>
        <w:rPr>
          <w:rStyle w:val="22"/>
        </w:rPr>
        <w:t>（四）推动义务教育优质均衡发展</w:t>
      </w:r>
      <w:r>
        <w:tab/>
      </w:r>
      <w:r>
        <w:fldChar w:fldCharType="begin"/>
      </w:r>
      <w:r>
        <w:instrText xml:space="preserve"> PAGEREF _Toc59468246 \h </w:instrText>
      </w:r>
      <w:r>
        <w:fldChar w:fldCharType="separate"/>
      </w:r>
      <w:r>
        <w:t>- 21 -</w:t>
      </w:r>
      <w:r>
        <w:fldChar w:fldCharType="end"/>
      </w:r>
      <w:r>
        <w:fldChar w:fldCharType="end"/>
      </w:r>
    </w:p>
    <w:p>
      <w:pPr>
        <w:pStyle w:val="14"/>
        <w:tabs>
          <w:tab w:val="right" w:leader="dot" w:pos="8296"/>
        </w:tabs>
        <w:ind w:left="640" w:firstLine="0" w:firstLineChars="0"/>
        <w:rPr>
          <w:rFonts w:asciiTheme="minorHAnsi" w:hAnsiTheme="minorHAnsi" w:eastAsiaTheme="minorEastAsia" w:cstheme="minorBidi"/>
          <w:sz w:val="21"/>
        </w:rPr>
      </w:pPr>
      <w:r>
        <w:fldChar w:fldCharType="begin"/>
      </w:r>
      <w:r>
        <w:instrText xml:space="preserve"> HYPERLINK \l "_Toc59468247" </w:instrText>
      </w:r>
      <w:r>
        <w:fldChar w:fldCharType="separate"/>
      </w:r>
      <w:r>
        <w:rPr>
          <w:rStyle w:val="22"/>
        </w:rPr>
        <w:t>（五）推进普通高中优质特色发展</w:t>
      </w:r>
      <w:r>
        <w:tab/>
      </w:r>
      <w:r>
        <w:fldChar w:fldCharType="begin"/>
      </w:r>
      <w:r>
        <w:instrText xml:space="preserve"> PAGEREF _Toc59468247 \h </w:instrText>
      </w:r>
      <w:r>
        <w:fldChar w:fldCharType="separate"/>
      </w:r>
      <w:r>
        <w:t>- 23 -</w:t>
      </w:r>
      <w:r>
        <w:fldChar w:fldCharType="end"/>
      </w:r>
      <w:r>
        <w:fldChar w:fldCharType="end"/>
      </w:r>
    </w:p>
    <w:p>
      <w:pPr>
        <w:pStyle w:val="14"/>
        <w:tabs>
          <w:tab w:val="right" w:leader="dot" w:pos="8296"/>
        </w:tabs>
        <w:ind w:left="640" w:firstLine="0" w:firstLineChars="0"/>
        <w:rPr>
          <w:rFonts w:asciiTheme="minorHAnsi" w:hAnsiTheme="minorHAnsi" w:eastAsiaTheme="minorEastAsia" w:cstheme="minorBidi"/>
          <w:sz w:val="21"/>
        </w:rPr>
      </w:pPr>
      <w:r>
        <w:fldChar w:fldCharType="begin"/>
      </w:r>
      <w:r>
        <w:instrText xml:space="preserve"> HYPERLINK \l "_Toc59468248" </w:instrText>
      </w:r>
      <w:r>
        <w:fldChar w:fldCharType="separate"/>
      </w:r>
      <w:r>
        <w:rPr>
          <w:rStyle w:val="22"/>
        </w:rPr>
        <w:t>（六）建设全民学习、终身学习的学习型社会</w:t>
      </w:r>
      <w:r>
        <w:tab/>
      </w:r>
      <w:r>
        <w:fldChar w:fldCharType="begin"/>
      </w:r>
      <w:r>
        <w:instrText xml:space="preserve"> PAGEREF _Toc59468248 \h </w:instrText>
      </w:r>
      <w:r>
        <w:fldChar w:fldCharType="separate"/>
      </w:r>
      <w:r>
        <w:t>- 25 -</w:t>
      </w:r>
      <w:r>
        <w:fldChar w:fldCharType="end"/>
      </w:r>
      <w:r>
        <w:fldChar w:fldCharType="end"/>
      </w:r>
    </w:p>
    <w:p>
      <w:pPr>
        <w:pStyle w:val="14"/>
        <w:tabs>
          <w:tab w:val="right" w:leader="dot" w:pos="8296"/>
        </w:tabs>
        <w:ind w:left="640" w:firstLine="0" w:firstLineChars="0"/>
        <w:rPr>
          <w:rFonts w:asciiTheme="minorHAnsi" w:hAnsiTheme="minorHAnsi" w:eastAsiaTheme="minorEastAsia" w:cstheme="minorBidi"/>
          <w:sz w:val="21"/>
        </w:rPr>
      </w:pPr>
      <w:r>
        <w:fldChar w:fldCharType="begin"/>
      </w:r>
      <w:r>
        <w:instrText xml:space="preserve"> HYPERLINK \l "_Toc59468249" </w:instrText>
      </w:r>
      <w:r>
        <w:fldChar w:fldCharType="separate"/>
      </w:r>
      <w:r>
        <w:rPr>
          <w:rStyle w:val="22"/>
        </w:rPr>
        <w:t>（七）提升交流合作水平和质量</w:t>
      </w:r>
      <w:r>
        <w:tab/>
      </w:r>
      <w:r>
        <w:fldChar w:fldCharType="begin"/>
      </w:r>
      <w:r>
        <w:instrText xml:space="preserve"> PAGEREF _Toc59468249 \h </w:instrText>
      </w:r>
      <w:r>
        <w:fldChar w:fldCharType="separate"/>
      </w:r>
      <w:r>
        <w:t>- 26 -</w:t>
      </w:r>
      <w:r>
        <w:fldChar w:fldCharType="end"/>
      </w:r>
      <w:r>
        <w:fldChar w:fldCharType="end"/>
      </w:r>
    </w:p>
    <w:p>
      <w:pPr>
        <w:pStyle w:val="14"/>
        <w:tabs>
          <w:tab w:val="right" w:leader="dot" w:pos="8296"/>
        </w:tabs>
        <w:ind w:left="640" w:firstLine="0" w:firstLineChars="0"/>
        <w:rPr>
          <w:rFonts w:asciiTheme="minorHAnsi" w:hAnsiTheme="minorHAnsi" w:eastAsiaTheme="minorEastAsia" w:cstheme="minorBidi"/>
          <w:sz w:val="21"/>
        </w:rPr>
      </w:pPr>
      <w:r>
        <w:fldChar w:fldCharType="begin"/>
      </w:r>
      <w:r>
        <w:instrText xml:space="preserve"> HYPERLINK \l "_Toc59468250" </w:instrText>
      </w:r>
      <w:r>
        <w:fldChar w:fldCharType="separate"/>
      </w:r>
      <w:r>
        <w:rPr>
          <w:rStyle w:val="22"/>
        </w:rPr>
        <w:t>（八）加强高素质专业化教师队伍建设</w:t>
      </w:r>
      <w:r>
        <w:tab/>
      </w:r>
      <w:r>
        <w:fldChar w:fldCharType="begin"/>
      </w:r>
      <w:r>
        <w:instrText xml:space="preserve"> PAGEREF _Toc59468250 \h </w:instrText>
      </w:r>
      <w:r>
        <w:fldChar w:fldCharType="separate"/>
      </w:r>
      <w:r>
        <w:t>- 27 -</w:t>
      </w:r>
      <w:r>
        <w:fldChar w:fldCharType="end"/>
      </w:r>
      <w:r>
        <w:fldChar w:fldCharType="end"/>
      </w:r>
    </w:p>
    <w:p>
      <w:pPr>
        <w:pStyle w:val="14"/>
        <w:tabs>
          <w:tab w:val="right" w:leader="dot" w:pos="8296"/>
        </w:tabs>
        <w:ind w:left="640" w:firstLine="0" w:firstLineChars="0"/>
        <w:rPr>
          <w:rFonts w:asciiTheme="minorHAnsi" w:hAnsiTheme="minorHAnsi" w:eastAsiaTheme="minorEastAsia" w:cstheme="minorBidi"/>
          <w:sz w:val="21"/>
        </w:rPr>
      </w:pPr>
      <w:r>
        <w:fldChar w:fldCharType="begin"/>
      </w:r>
      <w:r>
        <w:instrText xml:space="preserve"> HYPERLINK \l "_Toc59468251" </w:instrText>
      </w:r>
      <w:r>
        <w:fldChar w:fldCharType="separate"/>
      </w:r>
      <w:r>
        <w:rPr>
          <w:rStyle w:val="22"/>
        </w:rPr>
        <w:t>（九）构建数字化、智能化时代的智慧教育体系</w:t>
      </w:r>
      <w:r>
        <w:tab/>
      </w:r>
      <w:r>
        <w:fldChar w:fldCharType="begin"/>
      </w:r>
      <w:r>
        <w:instrText xml:space="preserve"> PAGEREF _Toc59468251 \h </w:instrText>
      </w:r>
      <w:r>
        <w:fldChar w:fldCharType="separate"/>
      </w:r>
      <w:r>
        <w:t>- 31 -</w:t>
      </w:r>
      <w:r>
        <w:fldChar w:fldCharType="end"/>
      </w:r>
      <w:r>
        <w:fldChar w:fldCharType="end"/>
      </w:r>
    </w:p>
    <w:p>
      <w:pPr>
        <w:pStyle w:val="14"/>
        <w:tabs>
          <w:tab w:val="right" w:leader="dot" w:pos="8296"/>
        </w:tabs>
        <w:ind w:left="640" w:firstLine="0" w:firstLineChars="0"/>
        <w:rPr>
          <w:rFonts w:asciiTheme="minorHAnsi" w:hAnsiTheme="minorHAnsi" w:eastAsiaTheme="minorEastAsia" w:cstheme="minorBidi"/>
          <w:sz w:val="21"/>
        </w:rPr>
      </w:pPr>
      <w:r>
        <w:fldChar w:fldCharType="begin"/>
      </w:r>
      <w:r>
        <w:instrText xml:space="preserve"> HYPERLINK \l "_Toc59468252" </w:instrText>
      </w:r>
      <w:r>
        <w:fldChar w:fldCharType="separate"/>
      </w:r>
      <w:r>
        <w:rPr>
          <w:rStyle w:val="22"/>
        </w:rPr>
        <w:t>（十）推进教育治理体系和治理能力现代化</w:t>
      </w:r>
      <w:r>
        <w:tab/>
      </w:r>
      <w:r>
        <w:fldChar w:fldCharType="begin"/>
      </w:r>
      <w:r>
        <w:instrText xml:space="preserve"> PAGEREF _Toc59468252 \h </w:instrText>
      </w:r>
      <w:r>
        <w:fldChar w:fldCharType="separate"/>
      </w:r>
      <w:r>
        <w:t>- 32 -</w:t>
      </w:r>
      <w:r>
        <w:fldChar w:fldCharType="end"/>
      </w:r>
      <w:r>
        <w:fldChar w:fldCharType="end"/>
      </w:r>
    </w:p>
    <w:p>
      <w:pPr>
        <w:pStyle w:val="11"/>
        <w:tabs>
          <w:tab w:val="right" w:leader="dot" w:pos="8296"/>
        </w:tabs>
        <w:ind w:firstLine="0" w:firstLineChars="0"/>
        <w:rPr>
          <w:rFonts w:asciiTheme="minorHAnsi" w:hAnsiTheme="minorHAnsi" w:eastAsiaTheme="minorEastAsia" w:cstheme="minorBidi"/>
          <w:sz w:val="21"/>
        </w:rPr>
      </w:pPr>
      <w:r>
        <w:fldChar w:fldCharType="begin"/>
      </w:r>
      <w:r>
        <w:instrText xml:space="preserve"> HYPERLINK \l "_Toc59468253" </w:instrText>
      </w:r>
      <w:r>
        <w:fldChar w:fldCharType="separate"/>
      </w:r>
      <w:r>
        <w:rPr>
          <w:rStyle w:val="22"/>
        </w:rPr>
        <w:t>四、全面保障规划实施</w:t>
      </w:r>
      <w:r>
        <w:tab/>
      </w:r>
      <w:r>
        <w:fldChar w:fldCharType="begin"/>
      </w:r>
      <w:r>
        <w:instrText xml:space="preserve"> PAGEREF _Toc59468253 \h </w:instrText>
      </w:r>
      <w:r>
        <w:fldChar w:fldCharType="separate"/>
      </w:r>
      <w:r>
        <w:t>- 32 -</w:t>
      </w:r>
      <w:r>
        <w:fldChar w:fldCharType="end"/>
      </w:r>
      <w:r>
        <w:fldChar w:fldCharType="end"/>
      </w:r>
    </w:p>
    <w:p>
      <w:pPr>
        <w:pStyle w:val="14"/>
        <w:tabs>
          <w:tab w:val="right" w:leader="dot" w:pos="8296"/>
        </w:tabs>
        <w:ind w:left="640" w:firstLine="0" w:firstLineChars="0"/>
        <w:rPr>
          <w:rFonts w:asciiTheme="minorHAnsi" w:hAnsiTheme="minorHAnsi" w:eastAsiaTheme="minorEastAsia" w:cstheme="minorBidi"/>
          <w:sz w:val="21"/>
        </w:rPr>
      </w:pPr>
      <w:r>
        <w:fldChar w:fldCharType="begin"/>
      </w:r>
      <w:r>
        <w:instrText xml:space="preserve"> HYPERLINK \l "_Toc59468254" </w:instrText>
      </w:r>
      <w:r>
        <w:fldChar w:fldCharType="separate"/>
      </w:r>
      <w:r>
        <w:rPr>
          <w:rStyle w:val="22"/>
        </w:rPr>
        <w:t>（一）加强统筹整合协同</w:t>
      </w:r>
      <w:r>
        <w:tab/>
      </w:r>
      <w:r>
        <w:fldChar w:fldCharType="begin"/>
      </w:r>
      <w:r>
        <w:instrText xml:space="preserve"> PAGEREF _Toc59468254 \h </w:instrText>
      </w:r>
      <w:r>
        <w:fldChar w:fldCharType="separate"/>
      </w:r>
      <w:r>
        <w:t>- 36 -</w:t>
      </w:r>
      <w:r>
        <w:fldChar w:fldCharType="end"/>
      </w:r>
      <w:r>
        <w:fldChar w:fldCharType="end"/>
      </w:r>
    </w:p>
    <w:p>
      <w:pPr>
        <w:pStyle w:val="14"/>
        <w:tabs>
          <w:tab w:val="right" w:leader="dot" w:pos="8296"/>
        </w:tabs>
        <w:ind w:left="640" w:firstLine="0" w:firstLineChars="0"/>
        <w:sectPr>
          <w:headerReference r:id="rId11" w:type="first"/>
          <w:headerReference r:id="rId9" w:type="default"/>
          <w:footerReference r:id="rId12" w:type="default"/>
          <w:headerReference r:id="rId10" w:type="even"/>
          <w:footerReference r:id="rId13" w:type="even"/>
          <w:pgSz w:w="11906" w:h="16838"/>
          <w:pgMar w:top="1440" w:right="1800" w:bottom="1440" w:left="1800" w:header="851" w:footer="992" w:gutter="0"/>
          <w:pgNumType w:fmt="numberInDash" w:start="1"/>
          <w:cols w:space="425" w:num="1"/>
          <w:docGrid w:type="lines" w:linePitch="312" w:charSpace="0"/>
        </w:sectPr>
      </w:pPr>
    </w:p>
    <w:p>
      <w:pPr>
        <w:pStyle w:val="14"/>
        <w:tabs>
          <w:tab w:val="right" w:leader="dot" w:pos="8296"/>
        </w:tabs>
        <w:ind w:left="640" w:firstLine="0" w:firstLineChars="0"/>
        <w:rPr>
          <w:rFonts w:asciiTheme="minorHAnsi" w:hAnsiTheme="minorHAnsi" w:eastAsiaTheme="minorEastAsia" w:cstheme="minorBidi"/>
          <w:sz w:val="21"/>
        </w:rPr>
      </w:pPr>
      <w:r>
        <w:fldChar w:fldCharType="begin"/>
      </w:r>
      <w:r>
        <w:instrText xml:space="preserve"> HYPERLINK \l "_Toc59468255" </w:instrText>
      </w:r>
      <w:r>
        <w:fldChar w:fldCharType="separate"/>
      </w:r>
      <w:r>
        <w:rPr>
          <w:rStyle w:val="22"/>
        </w:rPr>
        <w:t>（二）强化投入保障</w:t>
      </w:r>
      <w:r>
        <w:tab/>
      </w:r>
      <w:r>
        <w:fldChar w:fldCharType="begin"/>
      </w:r>
      <w:r>
        <w:instrText xml:space="preserve"> PAGEREF _Toc59468255 \h </w:instrText>
      </w:r>
      <w:r>
        <w:fldChar w:fldCharType="separate"/>
      </w:r>
      <w:r>
        <w:t>- 38 -</w:t>
      </w:r>
      <w:r>
        <w:fldChar w:fldCharType="end"/>
      </w:r>
      <w:r>
        <w:fldChar w:fldCharType="end"/>
      </w:r>
    </w:p>
    <w:p>
      <w:pPr>
        <w:pStyle w:val="14"/>
        <w:tabs>
          <w:tab w:val="right" w:leader="dot" w:pos="8296"/>
        </w:tabs>
        <w:ind w:left="640" w:firstLine="0" w:firstLineChars="0"/>
        <w:rPr>
          <w:rFonts w:asciiTheme="minorHAnsi" w:hAnsiTheme="minorHAnsi" w:eastAsiaTheme="minorEastAsia" w:cstheme="minorBidi"/>
          <w:sz w:val="21"/>
        </w:rPr>
      </w:pPr>
      <w:r>
        <w:fldChar w:fldCharType="begin"/>
      </w:r>
      <w:r>
        <w:instrText xml:space="preserve"> HYPERLINK \l "_Toc59468256" </w:instrText>
      </w:r>
      <w:r>
        <w:fldChar w:fldCharType="separate"/>
      </w:r>
      <w:r>
        <w:rPr>
          <w:rStyle w:val="22"/>
        </w:rPr>
        <w:t>（三）创设和谐发展环境</w:t>
      </w:r>
      <w:r>
        <w:tab/>
      </w:r>
      <w:r>
        <w:fldChar w:fldCharType="begin"/>
      </w:r>
      <w:r>
        <w:instrText xml:space="preserve"> PAGEREF _Toc59468256 \h </w:instrText>
      </w:r>
      <w:r>
        <w:fldChar w:fldCharType="separate"/>
      </w:r>
      <w:r>
        <w:t>- 38 -</w:t>
      </w:r>
      <w:r>
        <w:fldChar w:fldCharType="end"/>
      </w:r>
      <w:r>
        <w:fldChar w:fldCharType="end"/>
      </w:r>
    </w:p>
    <w:p>
      <w:pPr>
        <w:pStyle w:val="11"/>
        <w:tabs>
          <w:tab w:val="right" w:leader="dot" w:pos="8296"/>
        </w:tabs>
        <w:ind w:firstLine="0" w:firstLineChars="0"/>
        <w:jc w:val="center"/>
        <w:rPr>
          <w:rFonts w:eastAsia="方正小标宋简体"/>
          <w:szCs w:val="32"/>
        </w:rPr>
        <w:sectPr>
          <w:footerReference r:id="rId14" w:type="default"/>
          <w:pgSz w:w="11906" w:h="16838"/>
          <w:pgMar w:top="1440" w:right="1800" w:bottom="1440" w:left="1800" w:header="851" w:footer="992" w:gutter="0"/>
          <w:pgNumType w:fmt="numberInDash" w:start="1"/>
          <w:cols w:space="425" w:num="1"/>
          <w:docGrid w:type="lines" w:linePitch="312" w:charSpace="0"/>
        </w:sectPr>
      </w:pPr>
      <w:r>
        <w:rPr>
          <w:rFonts w:eastAsia="方正小标宋简体"/>
          <w:szCs w:val="32"/>
        </w:rPr>
        <w:fldChar w:fldCharType="end"/>
      </w:r>
    </w:p>
    <w:p>
      <w:pPr>
        <w:pStyle w:val="16"/>
        <w:ind w:firstLine="1084" w:firstLineChars="300"/>
        <w:jc w:val="both"/>
        <w:rPr>
          <w:sz w:val="36"/>
        </w:rPr>
      </w:pPr>
      <w:bookmarkStart w:id="18" w:name="_Toc56778226"/>
      <w:bookmarkStart w:id="19" w:name="_Toc58353659"/>
      <w:bookmarkStart w:id="20" w:name="_Toc58935947"/>
      <w:bookmarkStart w:id="21" w:name="_Toc58352019"/>
      <w:bookmarkStart w:id="22" w:name="_Toc57020361"/>
      <w:bookmarkStart w:id="23" w:name="_Toc59468233"/>
      <w:bookmarkStart w:id="24" w:name="_Toc58082405"/>
      <w:bookmarkStart w:id="25" w:name="_Toc58936033"/>
      <w:bookmarkStart w:id="26" w:name="_Toc58255381"/>
      <w:bookmarkStart w:id="27" w:name="_Toc58402272"/>
      <w:r>
        <w:rPr>
          <w:rFonts w:hint="eastAsia"/>
          <w:sz w:val="36"/>
        </w:rPr>
        <w:t>东丽区教育</w:t>
      </w:r>
      <w:r>
        <w:rPr>
          <w:sz w:val="36"/>
        </w:rPr>
        <w:t>现代化</w:t>
      </w:r>
      <w:r>
        <w:rPr>
          <w:rFonts w:hint="eastAsia"/>
          <w:sz w:val="36"/>
        </w:rPr>
        <w:t>“十四五”规划</w:t>
      </w:r>
      <w:bookmarkEnd w:id="1"/>
      <w:bookmarkEnd w:id="18"/>
      <w:bookmarkEnd w:id="19"/>
      <w:bookmarkEnd w:id="20"/>
      <w:bookmarkEnd w:id="21"/>
      <w:bookmarkEnd w:id="22"/>
      <w:bookmarkEnd w:id="23"/>
      <w:bookmarkEnd w:id="24"/>
      <w:bookmarkEnd w:id="25"/>
      <w:bookmarkEnd w:id="26"/>
      <w:bookmarkEnd w:id="27"/>
    </w:p>
    <w:p>
      <w:pPr>
        <w:ind w:firstLine="320" w:firstLineChars="100"/>
      </w:pPr>
    </w:p>
    <w:p>
      <w:r>
        <w:rPr>
          <w:rFonts w:hint="eastAsia"/>
        </w:rPr>
        <w:t>“十四五”时期（2021—2025年），是我市推动高质量发展，落实“一基地三区”定位的关键时期，也是我区迈向更高水平教育现代化的战略机遇期。为</w:t>
      </w:r>
      <w:r>
        <w:t>加快推进教育现代化，依据</w:t>
      </w:r>
      <w:r>
        <w:rPr>
          <w:rFonts w:hint="eastAsia"/>
        </w:rPr>
        <w:t>《中共天津市委关于制定天津市国民经济和社会发展第十四个五年规划和二</w:t>
      </w:r>
      <w:r>
        <w:rPr>
          <w:rFonts w:hint="eastAsia" w:ascii="宋体" w:hAnsi="宋体" w:eastAsia="宋体" w:cs="宋体"/>
        </w:rPr>
        <w:t>〇</w:t>
      </w:r>
      <w:r>
        <w:rPr>
          <w:rFonts w:hint="eastAsia" w:ascii="仿宋_GB2312" w:hAnsi="仿宋_GB2312" w:cs="仿宋_GB2312"/>
        </w:rPr>
        <w:t>三五年远景目标的建议</w:t>
      </w:r>
      <w:r>
        <w:rPr>
          <w:rFonts w:hint="eastAsia"/>
        </w:rPr>
        <w:t>》《天津教育现代化2035》《天津市教育事业发展“十四五”规划》《中共天津市东丽区委关于制定东丽区国民经济和社会发展第十四个五年规划和二〇三五年远景目标的建议》</w:t>
      </w:r>
      <w:r>
        <w:rPr>
          <w:rFonts w:hint="eastAsia"/>
          <w:lang w:eastAsia="zh-CN"/>
        </w:rPr>
        <w:t>和</w:t>
      </w:r>
      <w:r>
        <w:rPr>
          <w:rFonts w:hint="eastAsia"/>
        </w:rPr>
        <w:t>《</w:t>
      </w:r>
      <w:r>
        <w:rPr>
          <w:rFonts w:hint="eastAsia" w:ascii="仿宋_GB2312" w:hAnsi="仿宋_GB2312" w:cs="仿宋_GB2312"/>
          <w:szCs w:val="32"/>
        </w:rPr>
        <w:t>天津市东丽区国民经济和社会发</w:t>
      </w:r>
      <w:r>
        <w:rPr>
          <w:rFonts w:hint="eastAsia"/>
          <w:szCs w:val="32"/>
        </w:rPr>
        <w:t>展第十四个五年规划和二</w:t>
      </w:r>
      <w:r>
        <w:rPr>
          <w:rFonts w:hint="eastAsia" w:ascii="宋体" w:hAnsi="宋体" w:eastAsia="宋体" w:cs="宋体"/>
          <w:szCs w:val="32"/>
        </w:rPr>
        <w:t>〇</w:t>
      </w:r>
      <w:r>
        <w:rPr>
          <w:rFonts w:hint="eastAsia" w:ascii="仿宋_GB2312" w:hAnsi="仿宋_GB2312" w:cs="仿宋_GB2312"/>
          <w:szCs w:val="32"/>
        </w:rPr>
        <w:t>三五年远景目标纲要</w:t>
      </w:r>
      <w:r>
        <w:rPr>
          <w:rFonts w:hint="eastAsia"/>
        </w:rPr>
        <w:t>》，制定本规划。</w:t>
      </w:r>
    </w:p>
    <w:p>
      <w:pPr>
        <w:pStyle w:val="2"/>
        <w:ind w:firstLine="640"/>
      </w:pPr>
      <w:bookmarkStart w:id="28" w:name="_Toc58935948"/>
      <w:bookmarkStart w:id="29" w:name="_Toc59468234"/>
      <w:bookmarkStart w:id="30" w:name="_Toc56581695"/>
      <w:r>
        <w:rPr>
          <w:rFonts w:hint="eastAsia"/>
        </w:rPr>
        <w:t>一、发展基础</w:t>
      </w:r>
      <w:bookmarkEnd w:id="28"/>
      <w:bookmarkEnd w:id="29"/>
      <w:bookmarkEnd w:id="30"/>
    </w:p>
    <w:p>
      <w:pPr>
        <w:rPr>
          <w:rFonts w:ascii="仿宋_GB2312"/>
          <w:sz w:val="30"/>
          <w:szCs w:val="30"/>
        </w:rPr>
      </w:pPr>
      <w:r>
        <w:rPr>
          <w:rFonts w:hint="eastAsia"/>
        </w:rPr>
        <w:t>“十三五”</w:t>
      </w:r>
      <w:r>
        <w:t>时期</w:t>
      </w:r>
      <w:r>
        <w:rPr>
          <w:rFonts w:hint="eastAsia"/>
        </w:rPr>
        <w:t>，在区委区政府的坚强领导下，东丽教育全面贯彻落实党的教育方针，认真落实市委市政府的决策部署，坚持优先发展战略，稳步推进教育改革创新，持续加强内涵建设，着力提高教育质量，各级各类教育基础设施和办学条件显著提升，教育现代化建设明显加快，为未来东丽教育的优质快速发展奠定了坚实的基础。</w:t>
      </w:r>
    </w:p>
    <w:p>
      <w:pPr>
        <w:pStyle w:val="3"/>
        <w:ind w:firstLine="640"/>
      </w:pPr>
      <w:bookmarkStart w:id="31" w:name="_Toc56581696"/>
      <w:bookmarkStart w:id="32" w:name="_Toc58935949"/>
      <w:bookmarkStart w:id="33" w:name="_Toc59468235"/>
      <w:r>
        <w:rPr>
          <w:rFonts w:hint="eastAsia"/>
        </w:rPr>
        <w:t>（一）主要成绩</w:t>
      </w:r>
      <w:bookmarkEnd w:id="31"/>
      <w:bookmarkEnd w:id="32"/>
      <w:bookmarkEnd w:id="33"/>
    </w:p>
    <w:p>
      <w:r>
        <w:rPr>
          <w:rFonts w:hint="eastAsia"/>
        </w:rPr>
        <w:t>“十三五”时期</w:t>
      </w:r>
      <w:r>
        <w:t>，东丽区</w:t>
      </w:r>
      <w:r>
        <w:rPr>
          <w:rFonts w:hint="eastAsia"/>
        </w:rPr>
        <w:t>教育改革发展取得了显著成就，深入推进习近平新时代中国特色社会主义思想进教材进课堂进头脑，认真践行社会主义核心价值观，积极实施素质教育，立德树人根本任务有效</w:t>
      </w:r>
      <w:r>
        <w:t>落实</w:t>
      </w:r>
      <w:r>
        <w:rPr>
          <w:rFonts w:hint="eastAsia"/>
        </w:rPr>
        <w:t>。20所学校被评选为天津市文明校园；8所学校被评为天津市中华优秀传统文化艺术传承学校；15所学校被教育部认定为全国青少年校园足球特色学校；30个集体荣获“天津市优秀班集体”称号。学前教育普及普惠健康发展取得关键进展，新投入使用公办幼儿园5所，提供学位1560个。增加民办幼儿园48所，提供学位11330个，其中民办普惠性幼儿园增加26所，提供学位6450个。学前三年毛入园率达到91%，普惠性学前教育资源有明显增长。全面完成天津市第三轮义务教育学校现代化标准建设任务，义务教育优质均衡发展取得明显突破，义务教育巩固率达到100%。残疾儿童少年入学率达到98%，成为天津市两所特殊教育示范区之一。军粮城中学“普职渗透”和一百中学“以心育人”跻身天津市50所特色高中行列。东丽职教中心学校获得国家级教学成果一等奖2个，天津市教学成果一等奖1个。在印尼建设“鲁班工坊”，成立中国天津-印尼东爪哇职业教育发展研究中心，成为全国第一所建设“鲁班工坊”的中等职业</w:t>
      </w:r>
      <w:r>
        <w:t>学校</w:t>
      </w:r>
      <w:r>
        <w:rPr>
          <w:rFonts w:hint="eastAsia"/>
        </w:rPr>
        <w:t>。教师队伍素质稳步提高，全区中小学干部教师完成第五周期全员继续教育培训，以名师为核心建立48个研修团队。教育信息化建设水平大幅提升，“三通两平台”建设达标。</w:t>
      </w:r>
      <w:r>
        <w:rPr>
          <w:rFonts w:hint="eastAsia" w:ascii="仿宋_GB2312" w:hAnsi="仿宋" w:cs="仿宋"/>
          <w:kern w:val="0"/>
          <w:szCs w:val="32"/>
        </w:rPr>
        <w:t>高质量完成我区对口临潭、甘谷、皋兰、承德教育扶贫协作任务和援疆、援藏教师选派任务。</w:t>
      </w:r>
    </w:p>
    <w:p>
      <w:pPr>
        <w:pStyle w:val="3"/>
        <w:ind w:firstLine="640"/>
      </w:pPr>
      <w:bookmarkStart w:id="34" w:name="_Toc58935950"/>
      <w:bookmarkStart w:id="35" w:name="_Toc56581697"/>
      <w:bookmarkStart w:id="36" w:name="_Toc59468236"/>
      <w:r>
        <w:rPr>
          <w:rFonts w:hint="eastAsia"/>
        </w:rPr>
        <w:t>（二）面临形势</w:t>
      </w:r>
      <w:bookmarkEnd w:id="34"/>
      <w:bookmarkEnd w:id="35"/>
      <w:bookmarkEnd w:id="36"/>
      <w:r>
        <w:rPr>
          <w:rFonts w:hint="eastAsia"/>
        </w:rPr>
        <w:t>与存在</w:t>
      </w:r>
      <w:r>
        <w:t>问题</w:t>
      </w:r>
    </w:p>
    <w:p>
      <w:r>
        <w:rPr>
          <w:rFonts w:hint="eastAsia"/>
        </w:rPr>
        <w:t>“十四五”时期是我国乘势而上开启全面建设社会主义现代化国家新征程、向第二个百年奋斗目标进军的新发展阶段。在全面建成高质量小康社会基础上，天津将开启全面建设社会主义现代化大都市新征程，进入推动高质量发展、构建新发展格局的关键时期。作为“津城”和“滨城”产业发展的重要功能区，“十四五”时期是东丽区打造经济发展和人力资源服务新高地，深度融入天津“双城</w:t>
      </w:r>
      <w:r>
        <w:t>”</w:t>
      </w:r>
      <w:r>
        <w:rPr>
          <w:rFonts w:hint="eastAsia"/>
        </w:rPr>
        <w:t>发展大格局，实现“创新驱动绿色高质量发展”的关键期。东丽教育要顺势而为，主动作为，坚持以人民为中心的</w:t>
      </w:r>
      <w:r>
        <w:t>发展思想</w:t>
      </w:r>
      <w:r>
        <w:rPr>
          <w:rFonts w:hint="eastAsia"/>
        </w:rPr>
        <w:t>，扩大优质教育供给，加快提升教育服务品质，为促进还迁居民从农民到市民的角色转变，解决“社区之表、农村之实”问题，汇聚、吸引优秀人才服务东丽发展，建设更高质量的民生幸福家园提供有力支撑。</w:t>
      </w:r>
    </w:p>
    <w:p>
      <w:pPr>
        <w:rPr>
          <w:rFonts w:ascii="仿宋_GB2312" w:hAnsi="仿宋_GB2312" w:cs="仿宋_GB2312"/>
          <w:szCs w:val="32"/>
        </w:rPr>
      </w:pPr>
      <w:r>
        <w:rPr>
          <w:rFonts w:hint="eastAsia"/>
        </w:rPr>
        <w:t>在东丽加快教育现代化、建设教育强区的征程中，还存在一些亟待解决的突出问题：一是育人体系尚不完善，人才培养模式还不能适应经济社会发展需要，育人观、人才观尚未适应新时代发展要求，“五育并举”的落实机制不健全，思想政治教育针对性、实效性不强。二是教育资源供给还不能适应学龄人口总量快速增长带来的新需求，教育质量不够均衡，优质教育资源供给不充分。三是中小学品牌建设不突出，缺乏差异性与核心竞争力，学校缺乏品牌意识，可持续性不足，领头雁作用未得到充分发挥。四是干部教师队伍建设还不能适应新时代全面提升教育质量的要求，领导干部思想观念保守陈旧，创新竞进精神不强。骨干教师培养机制不完善，缺少在全市有影响力的学科带头人。五是依法治校机制和</w:t>
      </w:r>
      <w:r>
        <w:rPr>
          <w:rFonts w:hint="eastAsia" w:ascii="仿宋_GB2312" w:hAnsi="仿宋_GB2312" w:cs="仿宋_GB2312"/>
          <w:szCs w:val="32"/>
        </w:rPr>
        <w:t>学校治理结构还不完善，学校主动发展能力和办学活力不强，</w:t>
      </w:r>
      <w:r>
        <w:t>家校协</w:t>
      </w:r>
      <w:r>
        <w:rPr>
          <w:rFonts w:hint="eastAsia"/>
        </w:rPr>
        <w:t>作合力还没有真正形成</w:t>
      </w:r>
      <w:r>
        <w:rPr>
          <w:rFonts w:hint="eastAsia" w:ascii="仿宋_GB2312" w:hAnsi="仿宋_GB2312" w:cs="仿宋_GB2312"/>
          <w:szCs w:val="32"/>
        </w:rPr>
        <w:t>；民办</w:t>
      </w:r>
      <w:r>
        <w:rPr>
          <w:rFonts w:ascii="仿宋_GB2312" w:hAnsi="仿宋_GB2312" w:cs="仿宋_GB2312"/>
          <w:szCs w:val="32"/>
        </w:rPr>
        <w:t>教育</w:t>
      </w:r>
      <w:r>
        <w:rPr>
          <w:rFonts w:hint="eastAsia" w:ascii="仿宋_GB2312" w:hAnsi="仿宋_GB2312" w:cs="仿宋_GB2312"/>
          <w:szCs w:val="32"/>
        </w:rPr>
        <w:t>活力不足</w:t>
      </w:r>
      <w:r>
        <w:rPr>
          <w:rFonts w:ascii="仿宋_GB2312" w:hAnsi="仿宋_GB2312" w:cs="仿宋_GB2312"/>
          <w:szCs w:val="32"/>
        </w:rPr>
        <w:t>和</w:t>
      </w:r>
      <w:r>
        <w:rPr>
          <w:rFonts w:hint="eastAsia" w:ascii="仿宋_GB2312" w:hAnsi="仿宋_GB2312" w:cs="仿宋_GB2312"/>
          <w:szCs w:val="32"/>
        </w:rPr>
        <w:t>发展不规范并存，</w:t>
      </w:r>
      <w:r>
        <w:t>校外培训机构</w:t>
      </w:r>
      <w:r>
        <w:rPr>
          <w:rFonts w:hint="eastAsia"/>
        </w:rPr>
        <w:t>监管合力没有形成。</w:t>
      </w:r>
      <w:r>
        <w:rPr>
          <w:rFonts w:hint="eastAsia" w:ascii="仿宋_GB2312" w:hAnsi="仿宋_GB2312" w:cs="仿宋_GB2312"/>
          <w:szCs w:val="32"/>
        </w:rPr>
        <w:t>为</w:t>
      </w:r>
      <w:r>
        <w:rPr>
          <w:rFonts w:ascii="仿宋_GB2312" w:hAnsi="仿宋_GB2312" w:cs="仿宋_GB2312"/>
          <w:szCs w:val="32"/>
        </w:rPr>
        <w:t>解决这些问题，</w:t>
      </w:r>
      <w:r>
        <w:rPr>
          <w:rFonts w:hint="eastAsia" w:ascii="仿宋_GB2312" w:hAnsi="仿宋_GB2312" w:cs="仿宋_GB2312"/>
          <w:szCs w:val="32"/>
        </w:rPr>
        <w:t>我们既要整体布局又要突出重点，准确</w:t>
      </w:r>
      <w:r>
        <w:rPr>
          <w:rFonts w:ascii="仿宋_GB2312" w:hAnsi="仿宋_GB2312" w:cs="仿宋_GB2312"/>
          <w:szCs w:val="32"/>
        </w:rPr>
        <w:t>识变、科学求变、主动应变</w:t>
      </w:r>
      <w:r>
        <w:rPr>
          <w:rFonts w:hint="eastAsia" w:ascii="仿宋_GB2312" w:hAnsi="仿宋_GB2312" w:cs="仿宋_GB2312"/>
          <w:szCs w:val="32"/>
        </w:rPr>
        <w:t>，在积极应对挑战中把握机遇、尽力而为、量力而行，加强顶层设计，科学谋划实施好东丽教育</w:t>
      </w:r>
      <w:r>
        <w:rPr>
          <w:rFonts w:ascii="仿宋_GB2312" w:hAnsi="仿宋_GB2312" w:cs="仿宋_GB2312"/>
          <w:szCs w:val="32"/>
        </w:rPr>
        <w:t>现代化，</w:t>
      </w:r>
      <w:r>
        <w:rPr>
          <w:rFonts w:hint="eastAsia" w:ascii="仿宋_GB2312" w:hAnsi="仿宋_GB2312" w:cs="仿宋_GB2312"/>
          <w:szCs w:val="32"/>
        </w:rPr>
        <w:t>焕发教育系统新气象、彰显新作为。</w:t>
      </w:r>
    </w:p>
    <w:p>
      <w:pPr>
        <w:pStyle w:val="2"/>
        <w:ind w:firstLine="640"/>
      </w:pPr>
      <w:bookmarkStart w:id="37" w:name="_Toc56581698"/>
      <w:bookmarkStart w:id="38" w:name="_Toc59468237"/>
      <w:bookmarkStart w:id="39" w:name="_Toc58935951"/>
      <w:r>
        <w:rPr>
          <w:rFonts w:hint="eastAsia"/>
        </w:rPr>
        <w:t>二、总体要求</w:t>
      </w:r>
      <w:bookmarkEnd w:id="37"/>
      <w:bookmarkEnd w:id="38"/>
      <w:bookmarkEnd w:id="39"/>
    </w:p>
    <w:p>
      <w:pPr>
        <w:pStyle w:val="3"/>
        <w:ind w:firstLine="640"/>
      </w:pPr>
      <w:bookmarkStart w:id="40" w:name="_Toc58935952"/>
      <w:bookmarkStart w:id="41" w:name="_Toc56581699"/>
      <w:bookmarkStart w:id="42" w:name="_Toc59468238"/>
      <w:r>
        <w:rPr>
          <w:rFonts w:hint="eastAsia"/>
        </w:rPr>
        <w:t>（一）指导思想</w:t>
      </w:r>
      <w:bookmarkEnd w:id="40"/>
      <w:bookmarkEnd w:id="41"/>
      <w:bookmarkEnd w:id="42"/>
    </w:p>
    <w:p>
      <w:r>
        <w:rPr>
          <w:rFonts w:hint="eastAsia"/>
          <w:szCs w:val="32"/>
        </w:rPr>
        <w:t>以习近平新时代中国特色社会主义思想为指导，全面贯彻党的教育方针，坚守为党育人、为国育才，把立德树人作为根本任务，强化政治责任和政治担当。坚持教育优先发展，聚焦办好人民满意的教育，立足区情，抢抓机遇，加快补齐发展</w:t>
      </w:r>
      <w:r>
        <w:rPr>
          <w:szCs w:val="32"/>
        </w:rPr>
        <w:t>短板，</w:t>
      </w:r>
      <w:r>
        <w:rPr>
          <w:rFonts w:hint="eastAsia"/>
          <w:szCs w:val="32"/>
        </w:rPr>
        <w:t>持续提高教育现代化水平，</w:t>
      </w:r>
      <w:r>
        <w:rPr>
          <w:rFonts w:hint="eastAsia"/>
        </w:rPr>
        <w:t>促进教育公平。激发</w:t>
      </w:r>
      <w:r>
        <w:t>学校办学活力，</w:t>
      </w:r>
      <w:r>
        <w:rPr>
          <w:rFonts w:hint="eastAsia"/>
        </w:rPr>
        <w:t>优化教育生态，提升教育质量，培育</w:t>
      </w:r>
      <w:r>
        <w:t>绿色教育</w:t>
      </w:r>
      <w:r>
        <w:rPr>
          <w:rFonts w:hint="eastAsia"/>
        </w:rPr>
        <w:t>特色，健全高质量教育体系，建设教育强区。</w:t>
      </w:r>
    </w:p>
    <w:p>
      <w:pPr>
        <w:pStyle w:val="3"/>
        <w:ind w:firstLine="640"/>
      </w:pPr>
      <w:bookmarkStart w:id="43" w:name="_Toc58935953"/>
      <w:bookmarkStart w:id="44" w:name="_Toc59468239"/>
      <w:bookmarkStart w:id="45" w:name="_Toc56581700"/>
      <w:r>
        <w:rPr>
          <w:rFonts w:hint="eastAsia"/>
        </w:rPr>
        <w:t>（二）战略目标</w:t>
      </w:r>
      <w:bookmarkEnd w:id="43"/>
      <w:bookmarkEnd w:id="44"/>
      <w:bookmarkEnd w:id="45"/>
    </w:p>
    <w:p>
      <w:r>
        <w:rPr>
          <w:rFonts w:hint="eastAsia"/>
        </w:rPr>
        <w:t>到</w:t>
      </w:r>
      <w:r>
        <w:t>2025</w:t>
      </w:r>
      <w:r>
        <w:rPr>
          <w:rFonts w:hint="eastAsia"/>
        </w:rPr>
        <w:t>年，东丽区教育系统党的建设更加坚强，东丽教育现代化总体水平明显提高，教育资源布局</w:t>
      </w:r>
      <w:r>
        <w:rPr>
          <w:rFonts w:hint="eastAsia"/>
          <w:lang w:eastAsia="zh-CN"/>
        </w:rPr>
        <w:t>进一步</w:t>
      </w:r>
      <w:r>
        <w:rPr>
          <w:rFonts w:hint="eastAsia"/>
        </w:rPr>
        <w:t>优化，学校活力</w:t>
      </w:r>
      <w:r>
        <w:rPr>
          <w:rFonts w:hint="eastAsia"/>
          <w:lang w:eastAsia="zh-CN"/>
        </w:rPr>
        <w:t>全面</w:t>
      </w:r>
      <w:r>
        <w:rPr>
          <w:rFonts w:hint="eastAsia"/>
        </w:rPr>
        <w:t>增强，课程与评价体系更加科学完善，教育质量显著提升。现代教育治理能力</w:t>
      </w:r>
      <w:r>
        <w:rPr>
          <w:rFonts w:hint="eastAsia"/>
          <w:lang w:eastAsia="zh-CN"/>
        </w:rPr>
        <w:t>全面加强</w:t>
      </w:r>
      <w:r>
        <w:rPr>
          <w:rFonts w:hint="eastAsia"/>
        </w:rPr>
        <w:t>，教育生态</w:t>
      </w:r>
      <w:r>
        <w:rPr>
          <w:rFonts w:hint="eastAsia"/>
          <w:lang w:eastAsia="zh-CN"/>
        </w:rPr>
        <w:t>明显改善</w:t>
      </w:r>
      <w:r>
        <w:rPr>
          <w:rFonts w:hint="eastAsia"/>
        </w:rPr>
        <w:t>，学校家庭社会协同育人机制基本健全。以教育评价改革为牵引，统筹推进育人方式、办学模式、管理体制、保障机制改革，学生获得感、教师荣誉感、家庭幸福感和社会参与度、群众满意度持续提升，基本形成具有东丽特点的绿色高质量教育体系。</w:t>
      </w:r>
    </w:p>
    <w:p>
      <w:pPr>
        <w:pStyle w:val="3"/>
        <w:ind w:firstLine="640"/>
      </w:pPr>
      <w:bookmarkStart w:id="46" w:name="_Toc56581701"/>
      <w:bookmarkStart w:id="47" w:name="_Toc59468240"/>
      <w:bookmarkStart w:id="48" w:name="_Toc58935954"/>
      <w:r>
        <w:rPr>
          <w:rFonts w:hint="eastAsia"/>
        </w:rPr>
        <w:t>（三）战略重点</w:t>
      </w:r>
      <w:bookmarkEnd w:id="46"/>
      <w:bookmarkEnd w:id="47"/>
      <w:bookmarkEnd w:id="48"/>
    </w:p>
    <w:p>
      <w:r>
        <w:t>1.</w:t>
      </w:r>
      <w:r>
        <w:rPr>
          <w:rFonts w:hint="eastAsia"/>
        </w:rPr>
        <w:t>以党的政治</w:t>
      </w:r>
      <w:r>
        <w:t>建设为统领</w:t>
      </w:r>
      <w:r>
        <w:rPr>
          <w:rFonts w:hint="eastAsia"/>
        </w:rPr>
        <w:t>，全面加强教育系统党的建设。紧密围绕东丽教育改革与发展的重点任务，强化政治责任和政治担当，坚决落实全面从严治党主体责任，坚定不移推进全面从严治党向纵深发展，持续净化政治生态，营造教育系统风清气正、干事创业的良好氛围。</w:t>
      </w:r>
    </w:p>
    <w:p>
      <w:r>
        <w:t>2</w:t>
      </w:r>
      <w:r>
        <w:rPr>
          <w:rFonts w:hint="eastAsia"/>
        </w:rPr>
        <w:t>.以立德树人为根本任务，办好人民满意教育。全面落实“五育并举”，推进“三全育人”，实现东丽教育绿色高质量发展，整体提升东丽教育发展水平，努力培养德智体美劳全面发展的社会主义建设者和接班人。</w:t>
      </w:r>
    </w:p>
    <w:p>
      <w:pPr>
        <w:rPr>
          <w:rFonts w:hint="eastAsia"/>
        </w:rPr>
      </w:pPr>
      <w:r>
        <w:t>3.</w:t>
      </w:r>
      <w:r>
        <w:rPr>
          <w:rFonts w:hint="eastAsia"/>
        </w:rPr>
        <w:t>以学校布局优化为重点突破，健全教育现代化体系。适应区域人口增长趋势与产业发展布局，增设公办幼儿园、小学和普通高中学校，加快实现学校合理布局、南北协调发展的新格局；积极发展家庭教育、老年教育和社区教育，扩大终身学习资源供给，形成比较完善的现代化教育体系。</w:t>
      </w:r>
    </w:p>
    <w:p>
      <w:r>
        <w:rPr>
          <w:rFonts w:hint="eastAsia"/>
        </w:rPr>
        <w:t>4.以教师队伍建设为主要抓手，夯实教育发展中坚力量。坚持把师德师风作为评价教师队伍素质的第一标准，创新中</w:t>
      </w:r>
      <w:r>
        <w:rPr>
          <w:rFonts w:ascii="Arial" w:hAnsi="Arial" w:cs="Arial"/>
          <w:color w:val="000000"/>
        </w:rPr>
        <w:t>小学教职工编制管理制度</w:t>
      </w:r>
      <w:r>
        <w:rPr>
          <w:rFonts w:hint="eastAsia" w:ascii="Arial" w:hAnsi="Arial" w:cs="Arial"/>
          <w:color w:val="000000"/>
        </w:rPr>
        <w:t>，</w:t>
      </w:r>
      <w:r>
        <w:rPr>
          <w:rFonts w:hint="eastAsia"/>
        </w:rPr>
        <w:t>深入实施“区管校聘”管理</w:t>
      </w:r>
      <w:r>
        <w:t>改革</w:t>
      </w:r>
      <w:r>
        <w:rPr>
          <w:rFonts w:hint="eastAsia"/>
        </w:rPr>
        <w:t>和交流轮岗制度，健全激励措施，</w:t>
      </w:r>
      <w:r>
        <w:rPr>
          <w:rFonts w:ascii="Arial" w:hAnsi="Arial" w:cs="Arial"/>
          <w:color w:val="000000"/>
        </w:rPr>
        <w:t>加大教师</w:t>
      </w:r>
      <w:r>
        <w:rPr>
          <w:rFonts w:hint="eastAsia" w:ascii="Arial" w:hAnsi="Arial" w:cs="Arial"/>
          <w:color w:val="000000"/>
        </w:rPr>
        <w:t>和校长</w:t>
      </w:r>
      <w:r>
        <w:rPr>
          <w:rFonts w:ascii="Arial" w:hAnsi="Arial" w:cs="Arial"/>
          <w:color w:val="000000"/>
        </w:rPr>
        <w:t>培训力度</w:t>
      </w:r>
      <w:r>
        <w:rPr>
          <w:rFonts w:hint="eastAsia"/>
        </w:rPr>
        <w:t>，努力建设一支高素质、专业化的新时代干部教师队伍。</w:t>
      </w:r>
    </w:p>
    <w:p>
      <w:r>
        <w:t>5.</w:t>
      </w:r>
      <w:r>
        <w:rPr>
          <w:rFonts w:hint="eastAsia"/>
        </w:rPr>
        <w:t>以提升治理能力为关键举措，</w:t>
      </w:r>
      <w:r>
        <w:t>大力推行依法行政、依法办学、依法治校，更加注重运用法治思维</w:t>
      </w:r>
      <w:r>
        <w:rPr>
          <w:rFonts w:hint="eastAsia"/>
        </w:rPr>
        <w:t>和</w:t>
      </w:r>
      <w:r>
        <w:t>法治方式推动教育改革发展</w:t>
      </w:r>
      <w:r>
        <w:rPr>
          <w:rFonts w:hint="eastAsia"/>
        </w:rPr>
        <w:t>。充分发挥教育评价的指挥棒作用，</w:t>
      </w:r>
      <w:r>
        <w:t>从价值观、学校文化、课堂教学、学生成长等方面，推动绿色教育理念到</w:t>
      </w:r>
      <w:r>
        <w:rPr>
          <w:rFonts w:hint="eastAsia"/>
        </w:rPr>
        <w:t>实践</w:t>
      </w:r>
      <w:r>
        <w:t>的深刻变革</w:t>
      </w:r>
      <w:r>
        <w:rPr>
          <w:rFonts w:hint="eastAsia"/>
        </w:rPr>
        <w:t>，深化现代</w:t>
      </w:r>
      <w:r>
        <w:t>学校</w:t>
      </w:r>
      <w:r>
        <w:rPr>
          <w:rFonts w:hint="eastAsia"/>
        </w:rPr>
        <w:t>制度</w:t>
      </w:r>
      <w:r>
        <w:t>建设。</w:t>
      </w:r>
      <w:r>
        <w:rPr>
          <w:rFonts w:hint="eastAsia"/>
        </w:rPr>
        <w:t>加强</w:t>
      </w:r>
      <w:r>
        <w:t>顶层设计和制度创新，</w:t>
      </w:r>
      <w:r>
        <w:rPr>
          <w:rFonts w:hint="eastAsia"/>
        </w:rPr>
        <w:t>依法保障学校办学自主权，持续释放和激发学校的生机与活力。</w:t>
      </w:r>
    </w:p>
    <w:p>
      <w:pPr>
        <w:pStyle w:val="3"/>
        <w:ind w:firstLine="640"/>
      </w:pPr>
      <w:bookmarkStart w:id="49" w:name="_Toc59468241"/>
      <w:bookmarkStart w:id="50" w:name="_Toc58935955"/>
      <w:bookmarkStart w:id="51" w:name="_Toc56581702"/>
      <w:r>
        <w:rPr>
          <w:rFonts w:hint="eastAsia"/>
        </w:rPr>
        <w:t>（四）发展目标</w:t>
      </w:r>
      <w:bookmarkEnd w:id="49"/>
      <w:bookmarkEnd w:id="50"/>
      <w:bookmarkEnd w:id="51"/>
    </w:p>
    <w:p>
      <w:pPr>
        <w:snapToGrid w:val="0"/>
        <w:spacing w:line="560" w:lineRule="exact"/>
        <w:ind w:firstLine="627" w:firstLineChars="196"/>
        <w:rPr>
          <w:bCs/>
          <w:szCs w:val="32"/>
        </w:rPr>
      </w:pPr>
      <w:r>
        <w:rPr>
          <w:bCs/>
          <w:szCs w:val="32"/>
        </w:rPr>
        <w:t>——学前教育实现</w:t>
      </w:r>
      <w:r>
        <w:rPr>
          <w:rFonts w:hint="eastAsia"/>
          <w:bCs/>
          <w:szCs w:val="32"/>
        </w:rPr>
        <w:t>普及</w:t>
      </w:r>
      <w:r>
        <w:rPr>
          <w:bCs/>
          <w:szCs w:val="32"/>
        </w:rPr>
        <w:t>普惠</w:t>
      </w:r>
      <w:r>
        <w:rPr>
          <w:rFonts w:hint="eastAsia"/>
          <w:bCs/>
          <w:szCs w:val="32"/>
        </w:rPr>
        <w:t>安全优质</w:t>
      </w:r>
      <w:r>
        <w:rPr>
          <w:bCs/>
          <w:szCs w:val="32"/>
        </w:rPr>
        <w:t>发展。学前教育资源更加丰富，保教质量显著提升，</w:t>
      </w:r>
      <w:r>
        <w:rPr>
          <w:rFonts w:hint="eastAsia"/>
          <w:bCs/>
          <w:szCs w:val="32"/>
        </w:rPr>
        <w:t>以游戏为幼儿基本活动，</w:t>
      </w:r>
      <w:r>
        <w:rPr>
          <w:bCs/>
          <w:szCs w:val="32"/>
        </w:rPr>
        <w:t>引导幼儿养成良好行为习惯，健康快乐成长。</w:t>
      </w:r>
      <w:r>
        <w:rPr>
          <w:rFonts w:hint="eastAsia"/>
          <w:bCs/>
          <w:szCs w:val="32"/>
        </w:rPr>
        <w:t>2023年通过国家学前教育普及普惠区督导评估验收。学前三年毛入园率达95%以上，普惠性幼儿园覆盖率达83%以上，公办园在园幼儿占比50%以上。</w:t>
      </w:r>
    </w:p>
    <w:p>
      <w:pPr>
        <w:adjustRightInd w:val="0"/>
        <w:snapToGrid w:val="0"/>
        <w:spacing w:line="560" w:lineRule="exact"/>
        <w:rPr>
          <w:bCs/>
          <w:szCs w:val="32"/>
        </w:rPr>
      </w:pPr>
      <w:r>
        <w:rPr>
          <w:bCs/>
          <w:szCs w:val="32"/>
        </w:rPr>
        <w:t>——义务教育实现优质均衡发展。教育资源配置更加</w:t>
      </w:r>
      <w:r>
        <w:rPr>
          <w:rFonts w:hint="eastAsia"/>
          <w:bCs/>
          <w:szCs w:val="32"/>
        </w:rPr>
        <w:t>均衡</w:t>
      </w:r>
      <w:r>
        <w:rPr>
          <w:bCs/>
          <w:szCs w:val="32"/>
        </w:rPr>
        <w:t>，</w:t>
      </w:r>
      <w:r>
        <w:rPr>
          <w:rFonts w:hint="eastAsia"/>
          <w:bCs/>
          <w:szCs w:val="32"/>
        </w:rPr>
        <w:t>教育质量监测结果得到有效应用，</w:t>
      </w:r>
      <w:r>
        <w:rPr>
          <w:bCs/>
          <w:szCs w:val="32"/>
        </w:rPr>
        <w:t>教育质量达到更高水平</w:t>
      </w:r>
      <w:r>
        <w:rPr>
          <w:rFonts w:hint="eastAsia"/>
          <w:bCs/>
          <w:szCs w:val="32"/>
        </w:rPr>
        <w:t>，义务教育巩固率保持在99%以上</w:t>
      </w:r>
      <w:r>
        <w:rPr>
          <w:bCs/>
          <w:szCs w:val="32"/>
        </w:rPr>
        <w:t>。</w:t>
      </w:r>
      <w:r>
        <w:rPr>
          <w:rFonts w:hint="eastAsia"/>
          <w:bCs/>
          <w:szCs w:val="32"/>
        </w:rPr>
        <w:t>2022年通过国家义务教育优质均衡发展区国家级督导评估验收。</w:t>
      </w:r>
      <w:r>
        <w:rPr>
          <w:bCs/>
          <w:szCs w:val="32"/>
        </w:rPr>
        <w:t>全面推行融合教育，</w:t>
      </w:r>
      <w:r>
        <w:rPr>
          <w:rFonts w:hint="eastAsia"/>
          <w:bCs/>
          <w:szCs w:val="32"/>
        </w:rPr>
        <w:t>残疾儿童少年义务教育的入学率保持在99%以上。</w:t>
      </w:r>
    </w:p>
    <w:p>
      <w:pPr>
        <w:adjustRightInd w:val="0"/>
        <w:snapToGrid w:val="0"/>
        <w:spacing w:line="560" w:lineRule="exact"/>
        <w:rPr>
          <w:bCs/>
          <w:spacing w:val="-4"/>
          <w:szCs w:val="32"/>
        </w:rPr>
      </w:pPr>
      <w:r>
        <w:rPr>
          <w:bCs/>
          <w:szCs w:val="32"/>
        </w:rPr>
        <w:t>——</w:t>
      </w:r>
      <w:r>
        <w:rPr>
          <w:rFonts w:hint="eastAsia"/>
          <w:bCs/>
          <w:szCs w:val="32"/>
        </w:rPr>
        <w:t>普通</w:t>
      </w:r>
      <w:r>
        <w:rPr>
          <w:bCs/>
          <w:szCs w:val="32"/>
        </w:rPr>
        <w:t>高中教育实现</w:t>
      </w:r>
      <w:r>
        <w:rPr>
          <w:rFonts w:hint="eastAsia"/>
          <w:bCs/>
          <w:szCs w:val="32"/>
        </w:rPr>
        <w:t>优质</w:t>
      </w:r>
      <w:r>
        <w:rPr>
          <w:bCs/>
          <w:szCs w:val="32"/>
        </w:rPr>
        <w:t>特色发展。办学特色更加突出，学生自主发展、生涯规划能力显著增强。</w:t>
      </w:r>
      <w:r>
        <w:rPr>
          <w:rFonts w:hint="eastAsia"/>
          <w:bCs/>
          <w:szCs w:val="32"/>
        </w:rPr>
        <w:t>普职融通、精品课程建设取得明显成效</w:t>
      </w:r>
      <w:r>
        <w:rPr>
          <w:bCs/>
          <w:szCs w:val="32"/>
        </w:rPr>
        <w:t>，满足学生个性化、差异化发展需求</w:t>
      </w:r>
      <w:r>
        <w:rPr>
          <w:rFonts w:hint="eastAsia"/>
          <w:bCs/>
          <w:szCs w:val="32"/>
        </w:rPr>
        <w:t>。</w:t>
      </w:r>
      <w:r>
        <w:rPr>
          <w:rFonts w:hint="eastAsia"/>
          <w:szCs w:val="32"/>
        </w:rPr>
        <w:t>至少培育1所在全市有较大影响力的品牌高中。</w:t>
      </w:r>
    </w:p>
    <w:p>
      <w:pPr>
        <w:adjustRightInd w:val="0"/>
        <w:snapToGrid w:val="0"/>
        <w:spacing w:line="560" w:lineRule="exact"/>
        <w:rPr>
          <w:bCs/>
          <w:spacing w:val="-4"/>
          <w:szCs w:val="32"/>
        </w:rPr>
      </w:pPr>
      <w:r>
        <w:rPr>
          <w:bCs/>
          <w:szCs w:val="32"/>
        </w:rPr>
        <w:t>——职业教育</w:t>
      </w:r>
      <w:r>
        <w:rPr>
          <w:rFonts w:hint="eastAsia"/>
          <w:bCs/>
          <w:szCs w:val="32"/>
        </w:rPr>
        <w:t>服务能力</w:t>
      </w:r>
      <w:r>
        <w:rPr>
          <w:bCs/>
          <w:szCs w:val="32"/>
        </w:rPr>
        <w:t>显著提升。</w:t>
      </w:r>
      <w:r>
        <w:rPr>
          <w:rFonts w:hint="eastAsia"/>
          <w:bCs/>
          <w:szCs w:val="32"/>
        </w:rPr>
        <w:t>建成</w:t>
      </w:r>
      <w:r>
        <w:rPr>
          <w:bCs/>
          <w:szCs w:val="32"/>
        </w:rPr>
        <w:t>一批</w:t>
      </w:r>
      <w:r>
        <w:rPr>
          <w:rFonts w:hint="eastAsia"/>
          <w:bCs/>
          <w:szCs w:val="32"/>
        </w:rPr>
        <w:t>中等职业</w:t>
      </w:r>
      <w:r>
        <w:rPr>
          <w:bCs/>
          <w:szCs w:val="32"/>
        </w:rPr>
        <w:t>教育特色专业，形成与</w:t>
      </w:r>
      <w:r>
        <w:rPr>
          <w:rFonts w:hint="eastAsia"/>
          <w:bCs/>
          <w:szCs w:val="32"/>
        </w:rPr>
        <w:t>社会</w:t>
      </w:r>
      <w:r>
        <w:rPr>
          <w:bCs/>
          <w:szCs w:val="32"/>
        </w:rPr>
        <w:t>需求</w:t>
      </w:r>
      <w:r>
        <w:rPr>
          <w:rFonts w:hint="eastAsia"/>
          <w:bCs/>
          <w:szCs w:val="32"/>
        </w:rPr>
        <w:t>相</w:t>
      </w:r>
      <w:r>
        <w:rPr>
          <w:bCs/>
          <w:szCs w:val="32"/>
        </w:rPr>
        <w:t>适应、产教融合、灵活多样的职业教育与培训体系，让劳动者在成长和职业生涯发展不同阶段都有</w:t>
      </w:r>
      <w:r>
        <w:rPr>
          <w:rFonts w:hint="eastAsia"/>
          <w:bCs/>
          <w:szCs w:val="32"/>
        </w:rPr>
        <w:t>机会</w:t>
      </w:r>
      <w:r>
        <w:rPr>
          <w:bCs/>
          <w:szCs w:val="32"/>
        </w:rPr>
        <w:t>获得必要的技术技能。</w:t>
      </w:r>
      <w:r>
        <w:rPr>
          <w:rFonts w:hint="eastAsia"/>
          <w:bCs/>
          <w:szCs w:val="32"/>
        </w:rPr>
        <w:t>东丽区</w:t>
      </w:r>
      <w:r>
        <w:rPr>
          <w:bCs/>
          <w:szCs w:val="32"/>
        </w:rPr>
        <w:t>职教中心</w:t>
      </w:r>
      <w:r>
        <w:rPr>
          <w:rFonts w:hint="eastAsia"/>
          <w:bCs/>
          <w:szCs w:val="32"/>
        </w:rPr>
        <w:t>学校进入全市10所先进水平中等职业学校行列</w:t>
      </w:r>
      <w:r>
        <w:rPr>
          <w:bCs/>
          <w:szCs w:val="32"/>
        </w:rPr>
        <w:t>。</w:t>
      </w:r>
    </w:p>
    <w:p>
      <w:pPr>
        <w:adjustRightInd w:val="0"/>
        <w:snapToGrid w:val="0"/>
        <w:spacing w:line="560" w:lineRule="exact"/>
        <w:rPr>
          <w:bCs/>
          <w:szCs w:val="32"/>
        </w:rPr>
      </w:pPr>
      <w:r>
        <w:rPr>
          <w:bCs/>
          <w:szCs w:val="32"/>
        </w:rPr>
        <w:t>——终身学习体系更加开放灵活。各级各类教育纵向衔接、横向沟通、协调发展，学历教育和非学历教育、职前教育和职后教育、线上学习和线下学习相互融合，学校教育与社会教育、家庭教育密切配合、良性互动</w:t>
      </w:r>
      <w:r>
        <w:rPr>
          <w:rFonts w:hint="eastAsia"/>
          <w:bCs/>
          <w:szCs w:val="32"/>
        </w:rPr>
        <w:t>。老年教育和社区教育水平有较大提升，</w:t>
      </w:r>
      <w:r>
        <w:rPr>
          <w:bCs/>
          <w:szCs w:val="32"/>
        </w:rPr>
        <w:t>建成人人皆学、处处能学、时时可学的学习型</w:t>
      </w:r>
      <w:r>
        <w:rPr>
          <w:rFonts w:hint="eastAsia"/>
          <w:bCs/>
          <w:szCs w:val="32"/>
        </w:rPr>
        <w:t>城区。</w:t>
      </w:r>
    </w:p>
    <w:p>
      <w:pPr>
        <w:adjustRightInd w:val="0"/>
        <w:snapToGrid w:val="0"/>
        <w:spacing w:line="560" w:lineRule="exact"/>
        <w:rPr>
          <w:bCs/>
          <w:szCs w:val="32"/>
        </w:rPr>
      </w:pPr>
      <w:r>
        <w:rPr>
          <w:bCs/>
          <w:szCs w:val="32"/>
        </w:rPr>
        <w:t>——</w:t>
      </w:r>
      <w:r>
        <w:rPr>
          <w:rFonts w:hint="eastAsia"/>
          <w:bCs/>
          <w:szCs w:val="32"/>
        </w:rPr>
        <w:t>教育信息化水平显著提高。构建智慧学习环境，提升数字化智能化水平，积极探索基于人工智能、大数据等新技术在教育教学中的应用，利用智能技术加快推动创新人才培养模式、教学方法改革，形成泛在化、智能化学习体系。</w:t>
      </w:r>
    </w:p>
    <w:p>
      <w:pPr>
        <w:adjustRightInd w:val="0"/>
        <w:snapToGrid w:val="0"/>
        <w:spacing w:line="560" w:lineRule="exact"/>
        <w:rPr>
          <w:bCs/>
          <w:spacing w:val="-4"/>
          <w:szCs w:val="32"/>
        </w:rPr>
      </w:pPr>
      <w:r>
        <w:rPr>
          <w:bCs/>
          <w:szCs w:val="32"/>
        </w:rPr>
        <w:t>——</w:t>
      </w:r>
      <w:r>
        <w:rPr>
          <w:rFonts w:hint="eastAsia"/>
          <w:bCs/>
          <w:spacing w:val="-6"/>
          <w:szCs w:val="32"/>
        </w:rPr>
        <w:t>现代</w:t>
      </w:r>
      <w:r>
        <w:rPr>
          <w:bCs/>
          <w:spacing w:val="-6"/>
          <w:szCs w:val="32"/>
        </w:rPr>
        <w:t>学校制度更加完善</w:t>
      </w:r>
      <w:r>
        <w:rPr>
          <w:rFonts w:hint="eastAsia"/>
          <w:bCs/>
          <w:spacing w:val="-6"/>
          <w:szCs w:val="32"/>
        </w:rPr>
        <w:t>。深化教育“放管服”改革，学校</w:t>
      </w:r>
      <w:r>
        <w:rPr>
          <w:bCs/>
          <w:spacing w:val="-6"/>
          <w:szCs w:val="32"/>
        </w:rPr>
        <w:t>办学自主权得到有效</w:t>
      </w:r>
      <w:r>
        <w:rPr>
          <w:rFonts w:hint="eastAsia"/>
          <w:bCs/>
          <w:spacing w:val="-6"/>
          <w:szCs w:val="32"/>
        </w:rPr>
        <w:t>落实</w:t>
      </w:r>
      <w:r>
        <w:rPr>
          <w:bCs/>
          <w:spacing w:val="-6"/>
          <w:szCs w:val="32"/>
        </w:rPr>
        <w:t>，学校</w:t>
      </w:r>
      <w:r>
        <w:rPr>
          <w:rFonts w:hint="eastAsia"/>
          <w:bCs/>
          <w:spacing w:val="-6"/>
          <w:szCs w:val="32"/>
        </w:rPr>
        <w:t>发展动</w:t>
      </w:r>
      <w:r>
        <w:rPr>
          <w:bCs/>
          <w:spacing w:val="-6"/>
          <w:szCs w:val="32"/>
        </w:rPr>
        <w:t>力明显增强</w:t>
      </w:r>
      <w:r>
        <w:rPr>
          <w:rFonts w:hint="eastAsia"/>
          <w:bCs/>
          <w:spacing w:val="-6"/>
          <w:szCs w:val="32"/>
        </w:rPr>
        <w:t>，办学支撑保障能力有效提升，以学校章程为核心的内部管理制度基本健全，形成创新竞进的良好局面。</w:t>
      </w:r>
    </w:p>
    <w:p>
      <w:pPr>
        <w:snapToGrid w:val="0"/>
        <w:spacing w:beforeLines="50" w:afterLines="50"/>
        <w:ind w:firstLine="0" w:firstLineChars="0"/>
        <w:jc w:val="center"/>
        <w:rPr>
          <w:rFonts w:ascii="黑体" w:hAnsi="黑体" w:eastAsia="黑体"/>
          <w:bCs/>
          <w:kern w:val="0"/>
          <w:sz w:val="24"/>
          <w:szCs w:val="32"/>
        </w:rPr>
      </w:pPr>
      <w:r>
        <w:rPr>
          <w:rFonts w:ascii="黑体" w:hAnsi="黑体" w:eastAsia="黑体"/>
          <w:bCs/>
          <w:kern w:val="0"/>
          <w:sz w:val="24"/>
          <w:szCs w:val="32"/>
        </w:rPr>
        <w:t>表</w:t>
      </w:r>
      <w:r>
        <w:rPr>
          <w:rFonts w:hint="eastAsia" w:ascii="黑体" w:hAnsi="黑体" w:eastAsia="黑体"/>
          <w:bCs/>
          <w:kern w:val="0"/>
          <w:sz w:val="24"/>
          <w:szCs w:val="32"/>
        </w:rPr>
        <w:t xml:space="preserve"> </w:t>
      </w:r>
      <w:r>
        <w:rPr>
          <w:rFonts w:ascii="黑体" w:hAnsi="黑体" w:eastAsia="黑体"/>
          <w:bCs/>
          <w:kern w:val="0"/>
          <w:sz w:val="24"/>
          <w:szCs w:val="32"/>
        </w:rPr>
        <w:t xml:space="preserve"> “十四五”期间</w:t>
      </w:r>
      <w:r>
        <w:rPr>
          <w:rFonts w:hint="eastAsia" w:ascii="黑体" w:hAnsi="黑体" w:eastAsia="黑体"/>
          <w:bCs/>
          <w:kern w:val="0"/>
          <w:sz w:val="24"/>
          <w:szCs w:val="32"/>
        </w:rPr>
        <w:t>东丽</w:t>
      </w:r>
      <w:r>
        <w:rPr>
          <w:rFonts w:ascii="黑体" w:hAnsi="黑体" w:eastAsia="黑体"/>
          <w:bCs/>
          <w:kern w:val="0"/>
          <w:sz w:val="24"/>
          <w:szCs w:val="32"/>
        </w:rPr>
        <w:t>教育事业发展主要目标</w:t>
      </w:r>
    </w:p>
    <w:tbl>
      <w:tblPr>
        <w:tblStyle w:val="18"/>
        <w:tblW w:w="6117" w:type="pct"/>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autofit"/>
        <w:tblCellMar>
          <w:top w:w="0" w:type="dxa"/>
          <w:left w:w="108" w:type="dxa"/>
          <w:bottom w:w="0" w:type="dxa"/>
          <w:right w:w="108" w:type="dxa"/>
        </w:tblCellMar>
      </w:tblPr>
      <w:tblGrid>
        <w:gridCol w:w="5075"/>
        <w:gridCol w:w="1952"/>
        <w:gridCol w:w="1983"/>
        <w:gridCol w:w="1416"/>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4" w:hRule="atLeast"/>
          <w:jc w:val="center"/>
        </w:trPr>
        <w:tc>
          <w:tcPr>
            <w:tcW w:w="2434" w:type="pct"/>
            <w:shd w:val="clear" w:color="auto" w:fill="auto"/>
            <w:noWrap/>
            <w:vAlign w:val="center"/>
          </w:tcPr>
          <w:p>
            <w:pPr>
              <w:snapToGrid w:val="0"/>
              <w:ind w:firstLine="0" w:firstLineChars="0"/>
              <w:jc w:val="center"/>
              <w:rPr>
                <w:rFonts w:eastAsia="宋体"/>
                <w:b/>
                <w:kern w:val="0"/>
                <w:sz w:val="24"/>
                <w:szCs w:val="24"/>
              </w:rPr>
            </w:pPr>
            <w:r>
              <w:rPr>
                <w:rFonts w:eastAsia="宋体"/>
                <w:b/>
                <w:kern w:val="0"/>
                <w:sz w:val="24"/>
                <w:szCs w:val="24"/>
              </w:rPr>
              <w:t>主要指标</w:t>
            </w:r>
          </w:p>
        </w:tc>
        <w:tc>
          <w:tcPr>
            <w:tcW w:w="936" w:type="pct"/>
            <w:shd w:val="clear" w:color="auto" w:fill="auto"/>
            <w:noWrap/>
            <w:vAlign w:val="center"/>
          </w:tcPr>
          <w:p>
            <w:pPr>
              <w:snapToGrid w:val="0"/>
              <w:ind w:firstLine="0" w:firstLineChars="0"/>
              <w:jc w:val="center"/>
              <w:rPr>
                <w:rFonts w:eastAsia="宋体"/>
                <w:b/>
                <w:kern w:val="0"/>
                <w:sz w:val="24"/>
                <w:szCs w:val="24"/>
              </w:rPr>
            </w:pPr>
            <w:r>
              <w:rPr>
                <w:rFonts w:eastAsia="宋体"/>
                <w:b/>
                <w:kern w:val="0"/>
                <w:sz w:val="24"/>
                <w:szCs w:val="24"/>
              </w:rPr>
              <w:t>20</w:t>
            </w:r>
            <w:r>
              <w:rPr>
                <w:rFonts w:hint="eastAsia" w:eastAsia="宋体"/>
                <w:b/>
                <w:kern w:val="0"/>
                <w:sz w:val="24"/>
                <w:szCs w:val="24"/>
              </w:rPr>
              <w:t>20</w:t>
            </w:r>
            <w:r>
              <w:rPr>
                <w:rFonts w:eastAsia="宋体"/>
                <w:b/>
                <w:kern w:val="0"/>
                <w:sz w:val="24"/>
                <w:szCs w:val="24"/>
              </w:rPr>
              <w:t>年</w:t>
            </w:r>
          </w:p>
        </w:tc>
        <w:tc>
          <w:tcPr>
            <w:tcW w:w="951" w:type="pct"/>
            <w:shd w:val="clear" w:color="auto" w:fill="auto"/>
            <w:noWrap/>
            <w:vAlign w:val="center"/>
          </w:tcPr>
          <w:p>
            <w:pPr>
              <w:snapToGrid w:val="0"/>
              <w:ind w:firstLine="0" w:firstLineChars="0"/>
              <w:jc w:val="center"/>
              <w:rPr>
                <w:rFonts w:eastAsia="宋体"/>
                <w:b/>
                <w:kern w:val="0"/>
                <w:sz w:val="24"/>
                <w:szCs w:val="24"/>
              </w:rPr>
            </w:pPr>
            <w:r>
              <w:rPr>
                <w:rFonts w:eastAsia="宋体"/>
                <w:b/>
                <w:kern w:val="0"/>
                <w:sz w:val="24"/>
                <w:szCs w:val="24"/>
              </w:rPr>
              <w:t>2025年</w:t>
            </w:r>
          </w:p>
        </w:tc>
        <w:tc>
          <w:tcPr>
            <w:tcW w:w="680" w:type="pct"/>
            <w:vAlign w:val="center"/>
          </w:tcPr>
          <w:p>
            <w:pPr>
              <w:snapToGrid w:val="0"/>
              <w:ind w:firstLine="0" w:firstLineChars="0"/>
              <w:jc w:val="center"/>
              <w:rPr>
                <w:rFonts w:eastAsia="宋体"/>
                <w:b/>
                <w:kern w:val="0"/>
                <w:sz w:val="24"/>
                <w:szCs w:val="24"/>
              </w:rPr>
            </w:pPr>
            <w:r>
              <w:rPr>
                <w:rFonts w:hint="eastAsia" w:eastAsia="宋体"/>
                <w:b/>
                <w:kern w:val="0"/>
                <w:sz w:val="24"/>
                <w:szCs w:val="24"/>
              </w:rPr>
              <w:t>指标属性</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2434" w:type="pct"/>
            <w:shd w:val="clear" w:color="auto" w:fill="auto"/>
            <w:noWrap/>
            <w:vAlign w:val="center"/>
          </w:tcPr>
          <w:p>
            <w:pPr>
              <w:snapToGrid w:val="0"/>
              <w:ind w:firstLine="0" w:firstLineChars="0"/>
              <w:rPr>
                <w:rFonts w:eastAsia="宋体"/>
                <w:kern w:val="0"/>
                <w:sz w:val="24"/>
                <w:szCs w:val="24"/>
              </w:rPr>
            </w:pPr>
            <w:r>
              <w:rPr>
                <w:rFonts w:eastAsia="宋体"/>
                <w:kern w:val="0"/>
                <w:sz w:val="24"/>
                <w:szCs w:val="24"/>
              </w:rPr>
              <w:t>学前三年毛入园率（%）</w:t>
            </w:r>
          </w:p>
        </w:tc>
        <w:tc>
          <w:tcPr>
            <w:tcW w:w="936" w:type="pct"/>
            <w:shd w:val="clear" w:color="auto" w:fill="auto"/>
            <w:noWrap/>
            <w:vAlign w:val="center"/>
          </w:tcPr>
          <w:p>
            <w:pPr>
              <w:snapToGrid w:val="0"/>
              <w:ind w:firstLine="0" w:firstLineChars="0"/>
              <w:jc w:val="center"/>
              <w:rPr>
                <w:rFonts w:eastAsia="宋体"/>
                <w:kern w:val="0"/>
                <w:sz w:val="21"/>
                <w:szCs w:val="21"/>
              </w:rPr>
            </w:pPr>
            <w:r>
              <w:rPr>
                <w:rFonts w:hint="eastAsia" w:eastAsia="宋体"/>
                <w:kern w:val="0"/>
                <w:sz w:val="21"/>
                <w:szCs w:val="21"/>
              </w:rPr>
              <w:t>91.5</w:t>
            </w:r>
          </w:p>
        </w:tc>
        <w:tc>
          <w:tcPr>
            <w:tcW w:w="951" w:type="pct"/>
            <w:shd w:val="clear" w:color="auto" w:fill="auto"/>
            <w:noWrap/>
            <w:vAlign w:val="center"/>
          </w:tcPr>
          <w:p>
            <w:pPr>
              <w:snapToGrid w:val="0"/>
              <w:ind w:firstLine="0" w:firstLineChars="0"/>
              <w:jc w:val="center"/>
              <w:rPr>
                <w:rFonts w:eastAsia="宋体"/>
                <w:kern w:val="0"/>
                <w:sz w:val="21"/>
                <w:szCs w:val="21"/>
              </w:rPr>
            </w:pPr>
            <w:r>
              <w:rPr>
                <w:rFonts w:eastAsia="宋体"/>
                <w:kern w:val="0"/>
                <w:sz w:val="21"/>
                <w:szCs w:val="21"/>
              </w:rPr>
              <w:t>95</w:t>
            </w:r>
          </w:p>
        </w:tc>
        <w:tc>
          <w:tcPr>
            <w:tcW w:w="680" w:type="pct"/>
            <w:vAlign w:val="center"/>
          </w:tcPr>
          <w:p>
            <w:pPr>
              <w:snapToGrid w:val="0"/>
              <w:ind w:firstLine="0" w:firstLineChars="0"/>
              <w:jc w:val="center"/>
              <w:rPr>
                <w:rFonts w:eastAsia="宋体"/>
                <w:kern w:val="0"/>
                <w:sz w:val="21"/>
                <w:szCs w:val="21"/>
              </w:rPr>
            </w:pPr>
            <w:r>
              <w:rPr>
                <w:rFonts w:hint="eastAsia" w:eastAsia="宋体"/>
                <w:kern w:val="0"/>
                <w:sz w:val="21"/>
                <w:szCs w:val="21"/>
              </w:rPr>
              <w:t>预期性</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2434" w:type="pct"/>
            <w:shd w:val="clear" w:color="auto" w:fill="auto"/>
            <w:noWrap/>
            <w:vAlign w:val="center"/>
          </w:tcPr>
          <w:p>
            <w:pPr>
              <w:snapToGrid w:val="0"/>
              <w:ind w:firstLine="0" w:firstLineChars="0"/>
              <w:rPr>
                <w:rFonts w:eastAsia="宋体"/>
                <w:kern w:val="0"/>
                <w:sz w:val="24"/>
                <w:szCs w:val="24"/>
              </w:rPr>
            </w:pPr>
            <w:r>
              <w:rPr>
                <w:rFonts w:eastAsia="宋体"/>
                <w:kern w:val="0"/>
                <w:sz w:val="24"/>
                <w:szCs w:val="24"/>
              </w:rPr>
              <w:t>普惠性</w:t>
            </w:r>
            <w:r>
              <w:rPr>
                <w:rFonts w:hint="eastAsia" w:eastAsia="宋体"/>
                <w:kern w:val="0"/>
                <w:sz w:val="24"/>
                <w:szCs w:val="24"/>
              </w:rPr>
              <w:t>幼儿园覆盖率</w:t>
            </w:r>
            <w:r>
              <w:rPr>
                <w:rFonts w:eastAsia="宋体"/>
                <w:kern w:val="0"/>
                <w:sz w:val="24"/>
                <w:szCs w:val="24"/>
              </w:rPr>
              <w:t>（%）</w:t>
            </w:r>
          </w:p>
        </w:tc>
        <w:tc>
          <w:tcPr>
            <w:tcW w:w="936" w:type="pct"/>
            <w:shd w:val="clear" w:color="auto" w:fill="auto"/>
            <w:noWrap/>
            <w:vAlign w:val="center"/>
          </w:tcPr>
          <w:p>
            <w:pPr>
              <w:snapToGrid w:val="0"/>
              <w:ind w:firstLine="0" w:firstLineChars="0"/>
              <w:jc w:val="center"/>
              <w:rPr>
                <w:rFonts w:eastAsia="宋体"/>
                <w:kern w:val="0"/>
                <w:sz w:val="21"/>
                <w:szCs w:val="21"/>
              </w:rPr>
            </w:pPr>
            <w:r>
              <w:rPr>
                <w:rFonts w:hint="eastAsia" w:eastAsia="宋体"/>
                <w:kern w:val="0"/>
                <w:sz w:val="21"/>
                <w:szCs w:val="21"/>
              </w:rPr>
              <w:t>68</w:t>
            </w:r>
          </w:p>
        </w:tc>
        <w:tc>
          <w:tcPr>
            <w:tcW w:w="951" w:type="pct"/>
            <w:shd w:val="clear" w:color="auto" w:fill="auto"/>
            <w:noWrap/>
            <w:vAlign w:val="center"/>
          </w:tcPr>
          <w:p>
            <w:pPr>
              <w:snapToGrid w:val="0"/>
              <w:ind w:firstLine="0" w:firstLineChars="0"/>
              <w:jc w:val="center"/>
              <w:rPr>
                <w:rFonts w:eastAsia="宋体"/>
                <w:kern w:val="0"/>
                <w:sz w:val="21"/>
                <w:szCs w:val="21"/>
              </w:rPr>
            </w:pPr>
            <w:r>
              <w:rPr>
                <w:rFonts w:eastAsia="宋体"/>
                <w:kern w:val="0"/>
                <w:sz w:val="21"/>
                <w:szCs w:val="21"/>
              </w:rPr>
              <w:t>8</w:t>
            </w:r>
            <w:r>
              <w:rPr>
                <w:rFonts w:hint="eastAsia" w:eastAsia="宋体"/>
                <w:kern w:val="0"/>
                <w:sz w:val="21"/>
                <w:szCs w:val="21"/>
              </w:rPr>
              <w:t>3</w:t>
            </w:r>
          </w:p>
        </w:tc>
        <w:tc>
          <w:tcPr>
            <w:tcW w:w="680" w:type="pct"/>
            <w:vAlign w:val="center"/>
          </w:tcPr>
          <w:p>
            <w:pPr>
              <w:snapToGrid w:val="0"/>
              <w:ind w:firstLine="0" w:firstLineChars="0"/>
              <w:jc w:val="center"/>
              <w:rPr>
                <w:rFonts w:eastAsia="宋体"/>
                <w:kern w:val="0"/>
                <w:sz w:val="21"/>
                <w:szCs w:val="21"/>
              </w:rPr>
            </w:pPr>
            <w:r>
              <w:rPr>
                <w:rFonts w:hint="eastAsia" w:eastAsia="宋体"/>
                <w:kern w:val="0"/>
                <w:sz w:val="21"/>
                <w:szCs w:val="21"/>
              </w:rPr>
              <w:t>预期性</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2434" w:type="pct"/>
            <w:shd w:val="clear" w:color="auto" w:fill="auto"/>
            <w:noWrap/>
            <w:vAlign w:val="center"/>
          </w:tcPr>
          <w:p>
            <w:pPr>
              <w:snapToGrid w:val="0"/>
              <w:ind w:firstLine="0" w:firstLineChars="0"/>
              <w:rPr>
                <w:rFonts w:eastAsia="宋体"/>
                <w:kern w:val="0"/>
                <w:sz w:val="24"/>
                <w:szCs w:val="24"/>
              </w:rPr>
            </w:pPr>
            <w:r>
              <w:rPr>
                <w:rFonts w:eastAsia="宋体"/>
                <w:kern w:val="0"/>
                <w:sz w:val="24"/>
                <w:szCs w:val="24"/>
              </w:rPr>
              <w:t>义务教育</w:t>
            </w:r>
            <w:r>
              <w:rPr>
                <w:rFonts w:hint="eastAsia" w:eastAsia="宋体"/>
                <w:kern w:val="0"/>
                <w:sz w:val="24"/>
                <w:szCs w:val="24"/>
              </w:rPr>
              <w:t>巩固率</w:t>
            </w:r>
            <w:r>
              <w:rPr>
                <w:rFonts w:eastAsia="宋体"/>
                <w:kern w:val="0"/>
                <w:sz w:val="24"/>
                <w:szCs w:val="24"/>
              </w:rPr>
              <w:t>（%）</w:t>
            </w:r>
          </w:p>
        </w:tc>
        <w:tc>
          <w:tcPr>
            <w:tcW w:w="936" w:type="pct"/>
            <w:shd w:val="clear" w:color="auto" w:fill="auto"/>
            <w:noWrap/>
            <w:vAlign w:val="center"/>
          </w:tcPr>
          <w:p>
            <w:pPr>
              <w:snapToGrid w:val="0"/>
              <w:ind w:firstLine="0" w:firstLineChars="0"/>
              <w:jc w:val="center"/>
              <w:rPr>
                <w:rFonts w:eastAsia="宋体"/>
                <w:kern w:val="0"/>
                <w:sz w:val="21"/>
                <w:szCs w:val="21"/>
              </w:rPr>
            </w:pPr>
            <w:r>
              <w:rPr>
                <w:rFonts w:eastAsia="宋体"/>
                <w:kern w:val="0"/>
                <w:sz w:val="21"/>
                <w:szCs w:val="21"/>
              </w:rPr>
              <w:t>100</w:t>
            </w:r>
          </w:p>
        </w:tc>
        <w:tc>
          <w:tcPr>
            <w:tcW w:w="951" w:type="pct"/>
            <w:shd w:val="clear" w:color="auto" w:fill="auto"/>
            <w:noWrap/>
            <w:vAlign w:val="center"/>
          </w:tcPr>
          <w:p>
            <w:pPr>
              <w:snapToGrid w:val="0"/>
              <w:ind w:firstLine="0" w:firstLineChars="0"/>
              <w:jc w:val="center"/>
              <w:rPr>
                <w:rFonts w:eastAsia="宋体"/>
                <w:kern w:val="0"/>
                <w:sz w:val="21"/>
                <w:szCs w:val="21"/>
              </w:rPr>
            </w:pPr>
            <w:r>
              <w:rPr>
                <w:rFonts w:eastAsia="宋体"/>
                <w:kern w:val="0"/>
                <w:sz w:val="21"/>
                <w:szCs w:val="21"/>
              </w:rPr>
              <w:t>&gt;</w:t>
            </w:r>
            <w:r>
              <w:rPr>
                <w:rFonts w:hint="eastAsia" w:eastAsia="宋体"/>
                <w:kern w:val="0"/>
                <w:sz w:val="21"/>
                <w:szCs w:val="21"/>
              </w:rPr>
              <w:t>99</w:t>
            </w:r>
          </w:p>
        </w:tc>
        <w:tc>
          <w:tcPr>
            <w:tcW w:w="680" w:type="pct"/>
            <w:vAlign w:val="center"/>
          </w:tcPr>
          <w:p>
            <w:pPr>
              <w:snapToGrid w:val="0"/>
              <w:ind w:firstLine="0" w:firstLineChars="0"/>
              <w:jc w:val="center"/>
              <w:rPr>
                <w:rFonts w:eastAsia="宋体"/>
                <w:kern w:val="0"/>
                <w:sz w:val="21"/>
                <w:szCs w:val="21"/>
              </w:rPr>
            </w:pPr>
            <w:r>
              <w:rPr>
                <w:rFonts w:hint="eastAsia" w:eastAsia="宋体"/>
                <w:kern w:val="0"/>
                <w:sz w:val="21"/>
                <w:szCs w:val="21"/>
              </w:rPr>
              <w:t>约束性</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2434" w:type="pct"/>
            <w:shd w:val="clear" w:color="auto" w:fill="auto"/>
            <w:noWrap/>
            <w:vAlign w:val="center"/>
          </w:tcPr>
          <w:p>
            <w:pPr>
              <w:snapToGrid w:val="0"/>
              <w:ind w:firstLine="0" w:firstLineChars="0"/>
              <w:rPr>
                <w:rFonts w:eastAsia="宋体"/>
                <w:kern w:val="0"/>
                <w:sz w:val="24"/>
                <w:szCs w:val="24"/>
              </w:rPr>
            </w:pPr>
            <w:r>
              <w:rPr>
                <w:rFonts w:eastAsia="宋体"/>
                <w:kern w:val="0"/>
                <w:sz w:val="24"/>
                <w:szCs w:val="24"/>
              </w:rPr>
              <w:t>高中阶段毛入学率（%）</w:t>
            </w:r>
          </w:p>
        </w:tc>
        <w:tc>
          <w:tcPr>
            <w:tcW w:w="936" w:type="pct"/>
            <w:shd w:val="clear" w:color="auto" w:fill="auto"/>
            <w:noWrap/>
            <w:vAlign w:val="center"/>
          </w:tcPr>
          <w:p>
            <w:pPr>
              <w:snapToGrid w:val="0"/>
              <w:ind w:firstLine="0" w:firstLineChars="0"/>
              <w:jc w:val="center"/>
              <w:rPr>
                <w:rFonts w:eastAsia="宋体"/>
                <w:kern w:val="0"/>
                <w:sz w:val="21"/>
                <w:szCs w:val="21"/>
              </w:rPr>
            </w:pPr>
            <w:r>
              <w:rPr>
                <w:rFonts w:hint="eastAsia" w:eastAsia="宋体"/>
                <w:kern w:val="0"/>
                <w:sz w:val="21"/>
                <w:szCs w:val="21"/>
              </w:rPr>
              <w:t>96.7</w:t>
            </w:r>
          </w:p>
        </w:tc>
        <w:tc>
          <w:tcPr>
            <w:tcW w:w="951" w:type="pct"/>
            <w:shd w:val="clear" w:color="auto" w:fill="auto"/>
            <w:noWrap/>
            <w:vAlign w:val="center"/>
          </w:tcPr>
          <w:p>
            <w:pPr>
              <w:snapToGrid w:val="0"/>
              <w:ind w:firstLine="0" w:firstLineChars="0"/>
              <w:jc w:val="center"/>
              <w:rPr>
                <w:rFonts w:eastAsia="宋体"/>
                <w:kern w:val="0"/>
                <w:sz w:val="21"/>
                <w:szCs w:val="21"/>
              </w:rPr>
            </w:pPr>
            <w:r>
              <w:rPr>
                <w:rFonts w:eastAsia="宋体"/>
                <w:kern w:val="0"/>
                <w:sz w:val="21"/>
                <w:szCs w:val="21"/>
              </w:rPr>
              <w:t>&gt;99</w:t>
            </w:r>
          </w:p>
        </w:tc>
        <w:tc>
          <w:tcPr>
            <w:tcW w:w="680" w:type="pct"/>
            <w:vAlign w:val="center"/>
          </w:tcPr>
          <w:p>
            <w:pPr>
              <w:snapToGrid w:val="0"/>
              <w:ind w:firstLine="0" w:firstLineChars="0"/>
              <w:jc w:val="center"/>
              <w:rPr>
                <w:rFonts w:eastAsia="宋体"/>
                <w:kern w:val="0"/>
                <w:sz w:val="21"/>
                <w:szCs w:val="21"/>
              </w:rPr>
            </w:pPr>
            <w:r>
              <w:rPr>
                <w:rFonts w:hint="eastAsia" w:eastAsia="宋体"/>
                <w:kern w:val="0"/>
                <w:sz w:val="21"/>
                <w:szCs w:val="21"/>
              </w:rPr>
              <w:t>预期性</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2434" w:type="pct"/>
            <w:shd w:val="clear" w:color="auto" w:fill="auto"/>
            <w:noWrap/>
            <w:vAlign w:val="center"/>
          </w:tcPr>
          <w:p>
            <w:pPr>
              <w:snapToGrid w:val="0"/>
              <w:ind w:firstLine="0" w:firstLineChars="0"/>
              <w:rPr>
                <w:rFonts w:eastAsia="宋体"/>
                <w:kern w:val="0"/>
                <w:sz w:val="24"/>
                <w:szCs w:val="24"/>
              </w:rPr>
            </w:pPr>
            <w:r>
              <w:rPr>
                <w:rFonts w:hint="eastAsia" w:eastAsia="宋体"/>
                <w:kern w:val="0"/>
                <w:sz w:val="24"/>
                <w:szCs w:val="24"/>
              </w:rPr>
              <w:t>残疾儿童少年入学率</w:t>
            </w:r>
            <w:r>
              <w:rPr>
                <w:rFonts w:eastAsia="宋体"/>
                <w:kern w:val="0"/>
                <w:sz w:val="24"/>
                <w:szCs w:val="24"/>
              </w:rPr>
              <w:t>（%）</w:t>
            </w:r>
          </w:p>
        </w:tc>
        <w:tc>
          <w:tcPr>
            <w:tcW w:w="936" w:type="pct"/>
            <w:shd w:val="clear" w:color="auto" w:fill="auto"/>
            <w:noWrap/>
            <w:vAlign w:val="center"/>
          </w:tcPr>
          <w:p>
            <w:pPr>
              <w:snapToGrid w:val="0"/>
              <w:ind w:firstLine="0" w:firstLineChars="0"/>
              <w:jc w:val="center"/>
              <w:rPr>
                <w:rFonts w:eastAsia="宋体"/>
                <w:kern w:val="0"/>
                <w:sz w:val="21"/>
                <w:szCs w:val="21"/>
              </w:rPr>
            </w:pPr>
            <w:r>
              <w:rPr>
                <w:rFonts w:hint="eastAsia" w:eastAsia="宋体"/>
                <w:kern w:val="0"/>
                <w:sz w:val="21"/>
                <w:szCs w:val="21"/>
              </w:rPr>
              <w:t>95.76</w:t>
            </w:r>
          </w:p>
        </w:tc>
        <w:tc>
          <w:tcPr>
            <w:tcW w:w="951" w:type="pct"/>
            <w:shd w:val="clear" w:color="auto" w:fill="auto"/>
            <w:noWrap/>
            <w:vAlign w:val="center"/>
          </w:tcPr>
          <w:p>
            <w:pPr>
              <w:snapToGrid w:val="0"/>
              <w:ind w:firstLine="0" w:firstLineChars="0"/>
              <w:jc w:val="center"/>
              <w:rPr>
                <w:rFonts w:eastAsia="宋体"/>
                <w:kern w:val="0"/>
                <w:sz w:val="21"/>
                <w:szCs w:val="21"/>
              </w:rPr>
            </w:pPr>
            <w:r>
              <w:rPr>
                <w:rFonts w:eastAsia="宋体"/>
                <w:kern w:val="0"/>
                <w:sz w:val="21"/>
                <w:szCs w:val="21"/>
              </w:rPr>
              <w:t>&gt;</w:t>
            </w:r>
            <w:r>
              <w:rPr>
                <w:rFonts w:hint="eastAsia" w:eastAsia="宋体"/>
                <w:kern w:val="0"/>
                <w:sz w:val="21"/>
                <w:szCs w:val="21"/>
              </w:rPr>
              <w:t>99</w:t>
            </w:r>
          </w:p>
        </w:tc>
        <w:tc>
          <w:tcPr>
            <w:tcW w:w="680" w:type="pct"/>
            <w:vAlign w:val="center"/>
          </w:tcPr>
          <w:p>
            <w:pPr>
              <w:snapToGrid w:val="0"/>
              <w:ind w:firstLine="0" w:firstLineChars="0"/>
              <w:jc w:val="center"/>
              <w:rPr>
                <w:rFonts w:eastAsia="宋体"/>
                <w:kern w:val="0"/>
                <w:sz w:val="21"/>
                <w:szCs w:val="21"/>
              </w:rPr>
            </w:pPr>
            <w:r>
              <w:rPr>
                <w:rFonts w:hint="eastAsia" w:eastAsia="宋体"/>
                <w:kern w:val="0"/>
                <w:sz w:val="21"/>
                <w:szCs w:val="21"/>
              </w:rPr>
              <w:t>预期性</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2434" w:type="pct"/>
            <w:shd w:val="clear" w:color="auto" w:fill="auto"/>
            <w:noWrap/>
            <w:vAlign w:val="center"/>
          </w:tcPr>
          <w:p>
            <w:pPr>
              <w:snapToGrid w:val="0"/>
              <w:ind w:firstLine="0" w:firstLineChars="0"/>
              <w:rPr>
                <w:rFonts w:eastAsia="宋体"/>
                <w:kern w:val="0"/>
                <w:sz w:val="24"/>
                <w:szCs w:val="24"/>
              </w:rPr>
            </w:pPr>
            <w:r>
              <w:rPr>
                <w:rFonts w:hint="eastAsia" w:eastAsia="宋体"/>
                <w:kern w:val="0"/>
                <w:sz w:val="24"/>
                <w:szCs w:val="24"/>
              </w:rPr>
              <w:t>生均教学仪器设备值（</w:t>
            </w:r>
            <w:r>
              <w:rPr>
                <w:rFonts w:eastAsia="宋体"/>
                <w:kern w:val="0"/>
                <w:sz w:val="24"/>
                <w:szCs w:val="24"/>
              </w:rPr>
              <w:t>万元）</w:t>
            </w:r>
          </w:p>
        </w:tc>
        <w:tc>
          <w:tcPr>
            <w:tcW w:w="936" w:type="pct"/>
            <w:shd w:val="clear" w:color="auto" w:fill="auto"/>
            <w:noWrap/>
            <w:vAlign w:val="center"/>
          </w:tcPr>
          <w:p>
            <w:pPr>
              <w:snapToGrid w:val="0"/>
              <w:ind w:firstLine="0" w:firstLineChars="0"/>
              <w:jc w:val="center"/>
              <w:rPr>
                <w:rFonts w:eastAsia="宋体"/>
                <w:kern w:val="0"/>
                <w:sz w:val="21"/>
                <w:szCs w:val="21"/>
              </w:rPr>
            </w:pPr>
            <w:r>
              <w:rPr>
                <w:rFonts w:hint="eastAsia" w:eastAsia="宋体"/>
                <w:kern w:val="0"/>
                <w:sz w:val="21"/>
                <w:szCs w:val="21"/>
              </w:rPr>
              <w:t>小学</w:t>
            </w:r>
            <w:r>
              <w:rPr>
                <w:rFonts w:eastAsia="宋体"/>
                <w:kern w:val="0"/>
                <w:sz w:val="21"/>
                <w:szCs w:val="21"/>
              </w:rPr>
              <w:t>：0.</w:t>
            </w:r>
            <w:r>
              <w:rPr>
                <w:rFonts w:hint="eastAsia" w:eastAsia="宋体"/>
                <w:kern w:val="0"/>
                <w:sz w:val="21"/>
                <w:szCs w:val="21"/>
              </w:rPr>
              <w:t>50</w:t>
            </w:r>
          </w:p>
          <w:p>
            <w:pPr>
              <w:snapToGrid w:val="0"/>
              <w:ind w:firstLine="0" w:firstLineChars="0"/>
              <w:jc w:val="center"/>
              <w:rPr>
                <w:rFonts w:eastAsia="宋体"/>
                <w:kern w:val="0"/>
                <w:sz w:val="21"/>
                <w:szCs w:val="21"/>
              </w:rPr>
            </w:pPr>
            <w:r>
              <w:rPr>
                <w:rFonts w:hint="eastAsia" w:eastAsia="宋体"/>
                <w:kern w:val="0"/>
                <w:sz w:val="21"/>
                <w:szCs w:val="21"/>
              </w:rPr>
              <w:t>初中</w:t>
            </w:r>
            <w:r>
              <w:rPr>
                <w:rFonts w:eastAsia="宋体"/>
                <w:kern w:val="0"/>
                <w:sz w:val="21"/>
                <w:szCs w:val="21"/>
              </w:rPr>
              <w:t>：</w:t>
            </w:r>
            <w:r>
              <w:rPr>
                <w:rFonts w:hint="eastAsia" w:eastAsia="宋体"/>
                <w:kern w:val="0"/>
                <w:sz w:val="21"/>
                <w:szCs w:val="21"/>
              </w:rPr>
              <w:t>0.76</w:t>
            </w:r>
          </w:p>
          <w:p>
            <w:pPr>
              <w:snapToGrid w:val="0"/>
              <w:ind w:firstLine="0" w:firstLineChars="0"/>
              <w:jc w:val="center"/>
              <w:rPr>
                <w:rFonts w:eastAsia="宋体"/>
                <w:kern w:val="0"/>
                <w:sz w:val="21"/>
                <w:szCs w:val="21"/>
              </w:rPr>
            </w:pPr>
            <w:r>
              <w:rPr>
                <w:rFonts w:hint="eastAsia" w:eastAsia="宋体"/>
                <w:kern w:val="0"/>
                <w:sz w:val="21"/>
                <w:szCs w:val="21"/>
              </w:rPr>
              <w:t>普通</w:t>
            </w:r>
            <w:r>
              <w:rPr>
                <w:rFonts w:eastAsia="宋体"/>
                <w:kern w:val="0"/>
                <w:sz w:val="21"/>
                <w:szCs w:val="21"/>
              </w:rPr>
              <w:t>高中：</w:t>
            </w:r>
            <w:r>
              <w:rPr>
                <w:rFonts w:hint="eastAsia" w:eastAsia="宋体"/>
                <w:kern w:val="0"/>
                <w:sz w:val="21"/>
                <w:szCs w:val="21"/>
              </w:rPr>
              <w:t>0.79</w:t>
            </w:r>
          </w:p>
          <w:p>
            <w:pPr>
              <w:snapToGrid w:val="0"/>
              <w:ind w:firstLine="0" w:firstLineChars="0"/>
              <w:jc w:val="center"/>
              <w:rPr>
                <w:rFonts w:eastAsia="宋体"/>
                <w:kern w:val="0"/>
                <w:sz w:val="21"/>
                <w:szCs w:val="21"/>
              </w:rPr>
            </w:pPr>
            <w:r>
              <w:rPr>
                <w:rFonts w:hint="eastAsia" w:eastAsia="宋体"/>
                <w:b/>
                <w:bCs/>
                <w:kern w:val="0"/>
                <w:sz w:val="21"/>
                <w:szCs w:val="21"/>
              </w:rPr>
              <w:t>中职</w:t>
            </w:r>
            <w:r>
              <w:rPr>
                <w:rFonts w:eastAsia="宋体"/>
                <w:b/>
                <w:bCs/>
                <w:kern w:val="0"/>
                <w:sz w:val="21"/>
                <w:szCs w:val="21"/>
              </w:rPr>
              <w:t>学校：</w:t>
            </w:r>
            <w:r>
              <w:rPr>
                <w:rFonts w:hint="eastAsia" w:eastAsia="宋体"/>
                <w:b/>
                <w:bCs/>
                <w:kern w:val="0"/>
                <w:sz w:val="21"/>
                <w:szCs w:val="21"/>
              </w:rPr>
              <w:t>2.99</w:t>
            </w:r>
          </w:p>
        </w:tc>
        <w:tc>
          <w:tcPr>
            <w:tcW w:w="951" w:type="pct"/>
            <w:shd w:val="clear" w:color="auto" w:fill="auto"/>
            <w:noWrap/>
            <w:vAlign w:val="center"/>
          </w:tcPr>
          <w:p>
            <w:pPr>
              <w:snapToGrid w:val="0"/>
              <w:ind w:firstLine="0" w:firstLineChars="0"/>
              <w:jc w:val="center"/>
              <w:rPr>
                <w:rFonts w:eastAsia="宋体"/>
                <w:kern w:val="0"/>
                <w:sz w:val="21"/>
                <w:szCs w:val="21"/>
              </w:rPr>
            </w:pPr>
            <w:r>
              <w:rPr>
                <w:rFonts w:hint="eastAsia" w:eastAsia="宋体"/>
                <w:kern w:val="0"/>
                <w:sz w:val="21"/>
                <w:szCs w:val="21"/>
              </w:rPr>
              <w:t>小学</w:t>
            </w:r>
            <w:r>
              <w:rPr>
                <w:rFonts w:eastAsia="宋体"/>
                <w:kern w:val="0"/>
                <w:sz w:val="21"/>
                <w:szCs w:val="21"/>
              </w:rPr>
              <w:t>：</w:t>
            </w:r>
            <w:r>
              <w:rPr>
                <w:rFonts w:hint="eastAsia" w:eastAsia="宋体"/>
                <w:kern w:val="0"/>
                <w:sz w:val="21"/>
                <w:szCs w:val="21"/>
              </w:rPr>
              <w:t>0</w:t>
            </w:r>
            <w:r>
              <w:rPr>
                <w:rFonts w:eastAsia="宋体"/>
                <w:kern w:val="0"/>
                <w:sz w:val="21"/>
                <w:szCs w:val="21"/>
              </w:rPr>
              <w:t>.</w:t>
            </w:r>
            <w:r>
              <w:rPr>
                <w:rFonts w:hint="eastAsia" w:eastAsia="宋体"/>
                <w:kern w:val="0"/>
                <w:sz w:val="21"/>
                <w:szCs w:val="21"/>
              </w:rPr>
              <w:t>60</w:t>
            </w:r>
          </w:p>
          <w:p>
            <w:pPr>
              <w:snapToGrid w:val="0"/>
              <w:ind w:firstLine="0" w:firstLineChars="0"/>
              <w:jc w:val="center"/>
              <w:rPr>
                <w:rFonts w:eastAsia="宋体"/>
                <w:kern w:val="0"/>
                <w:sz w:val="21"/>
                <w:szCs w:val="21"/>
              </w:rPr>
            </w:pPr>
            <w:r>
              <w:rPr>
                <w:rFonts w:hint="eastAsia" w:eastAsia="宋体"/>
                <w:kern w:val="0"/>
                <w:sz w:val="21"/>
                <w:szCs w:val="21"/>
              </w:rPr>
              <w:t>初中</w:t>
            </w:r>
            <w:r>
              <w:rPr>
                <w:rFonts w:eastAsia="宋体"/>
                <w:kern w:val="0"/>
                <w:sz w:val="21"/>
                <w:szCs w:val="21"/>
              </w:rPr>
              <w:t>：</w:t>
            </w:r>
            <w:r>
              <w:rPr>
                <w:rFonts w:hint="eastAsia" w:eastAsia="宋体"/>
                <w:kern w:val="0"/>
                <w:sz w:val="21"/>
                <w:szCs w:val="21"/>
              </w:rPr>
              <w:t>0</w:t>
            </w:r>
            <w:r>
              <w:rPr>
                <w:rFonts w:eastAsia="宋体"/>
                <w:kern w:val="0"/>
                <w:sz w:val="21"/>
                <w:szCs w:val="21"/>
              </w:rPr>
              <w:t>.90</w:t>
            </w:r>
          </w:p>
          <w:p>
            <w:pPr>
              <w:snapToGrid w:val="0"/>
              <w:ind w:firstLine="0" w:firstLineChars="0"/>
              <w:jc w:val="center"/>
              <w:rPr>
                <w:rFonts w:eastAsia="宋体"/>
                <w:kern w:val="0"/>
                <w:sz w:val="21"/>
                <w:szCs w:val="21"/>
              </w:rPr>
            </w:pPr>
            <w:r>
              <w:rPr>
                <w:rFonts w:hint="eastAsia" w:eastAsia="宋体"/>
                <w:kern w:val="0"/>
                <w:sz w:val="21"/>
                <w:szCs w:val="21"/>
              </w:rPr>
              <w:t>普通</w:t>
            </w:r>
            <w:r>
              <w:rPr>
                <w:rFonts w:eastAsia="宋体"/>
                <w:kern w:val="0"/>
                <w:sz w:val="21"/>
                <w:szCs w:val="21"/>
              </w:rPr>
              <w:t>高中：</w:t>
            </w:r>
            <w:r>
              <w:rPr>
                <w:rFonts w:hint="eastAsia" w:eastAsia="宋体"/>
                <w:kern w:val="0"/>
                <w:sz w:val="21"/>
                <w:szCs w:val="21"/>
              </w:rPr>
              <w:t>1.3</w:t>
            </w:r>
          </w:p>
          <w:p>
            <w:pPr>
              <w:snapToGrid w:val="0"/>
              <w:ind w:firstLine="0" w:firstLineChars="0"/>
              <w:jc w:val="center"/>
              <w:rPr>
                <w:rFonts w:eastAsia="宋体"/>
                <w:kern w:val="0"/>
                <w:sz w:val="21"/>
                <w:szCs w:val="21"/>
              </w:rPr>
            </w:pPr>
            <w:r>
              <w:rPr>
                <w:rFonts w:hint="eastAsia" w:eastAsia="宋体"/>
                <w:kern w:val="0"/>
                <w:sz w:val="21"/>
                <w:szCs w:val="21"/>
              </w:rPr>
              <w:t>中职</w:t>
            </w:r>
            <w:r>
              <w:rPr>
                <w:rFonts w:eastAsia="宋体"/>
                <w:kern w:val="0"/>
                <w:sz w:val="21"/>
                <w:szCs w:val="21"/>
              </w:rPr>
              <w:t>学校：</w:t>
            </w:r>
            <w:r>
              <w:rPr>
                <w:rFonts w:hint="eastAsia" w:eastAsia="宋体"/>
                <w:kern w:val="0"/>
                <w:sz w:val="21"/>
                <w:szCs w:val="21"/>
              </w:rPr>
              <w:t>3.5</w:t>
            </w:r>
          </w:p>
        </w:tc>
        <w:tc>
          <w:tcPr>
            <w:tcW w:w="680" w:type="pct"/>
            <w:vAlign w:val="center"/>
          </w:tcPr>
          <w:p>
            <w:pPr>
              <w:snapToGrid w:val="0"/>
              <w:ind w:firstLine="0" w:firstLineChars="0"/>
              <w:jc w:val="center"/>
              <w:rPr>
                <w:rFonts w:eastAsia="宋体"/>
                <w:kern w:val="0"/>
                <w:sz w:val="21"/>
                <w:szCs w:val="21"/>
              </w:rPr>
            </w:pPr>
            <w:r>
              <w:rPr>
                <w:rFonts w:hint="eastAsia" w:eastAsia="宋体"/>
                <w:kern w:val="0"/>
                <w:sz w:val="21"/>
                <w:szCs w:val="21"/>
              </w:rPr>
              <w:t>预期性</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2434" w:type="pct"/>
            <w:shd w:val="clear" w:color="auto" w:fill="auto"/>
            <w:noWrap/>
            <w:vAlign w:val="center"/>
          </w:tcPr>
          <w:p>
            <w:pPr>
              <w:snapToGrid w:val="0"/>
              <w:ind w:firstLine="0" w:firstLineChars="0"/>
              <w:rPr>
                <w:rFonts w:eastAsia="宋体"/>
                <w:kern w:val="0"/>
                <w:sz w:val="24"/>
                <w:szCs w:val="24"/>
              </w:rPr>
            </w:pPr>
            <w:r>
              <w:rPr>
                <w:rFonts w:hint="eastAsia" w:eastAsia="宋体"/>
                <w:kern w:val="0"/>
                <w:sz w:val="24"/>
                <w:szCs w:val="24"/>
              </w:rPr>
              <w:t>学生</w:t>
            </w:r>
            <w:r>
              <w:rPr>
                <w:rFonts w:eastAsia="宋体"/>
                <w:kern w:val="0"/>
                <w:sz w:val="24"/>
                <w:szCs w:val="24"/>
              </w:rPr>
              <w:t>体质健康优良率（%）</w:t>
            </w:r>
          </w:p>
        </w:tc>
        <w:tc>
          <w:tcPr>
            <w:tcW w:w="936" w:type="pct"/>
            <w:shd w:val="clear" w:color="auto" w:fill="auto"/>
            <w:noWrap/>
            <w:vAlign w:val="center"/>
          </w:tcPr>
          <w:p>
            <w:pPr>
              <w:snapToGrid w:val="0"/>
              <w:ind w:firstLine="0" w:firstLineChars="0"/>
              <w:jc w:val="center"/>
              <w:rPr>
                <w:rFonts w:eastAsia="宋体"/>
                <w:kern w:val="0"/>
                <w:sz w:val="21"/>
                <w:szCs w:val="21"/>
              </w:rPr>
            </w:pPr>
            <w:r>
              <w:rPr>
                <w:rFonts w:hint="eastAsia" w:eastAsia="宋体"/>
                <w:kern w:val="0"/>
                <w:sz w:val="21"/>
                <w:szCs w:val="21"/>
              </w:rPr>
              <w:t>小学</w:t>
            </w:r>
            <w:r>
              <w:rPr>
                <w:rFonts w:eastAsia="宋体"/>
                <w:kern w:val="0"/>
                <w:sz w:val="21"/>
                <w:szCs w:val="21"/>
              </w:rPr>
              <w:t>：</w:t>
            </w:r>
            <w:r>
              <w:rPr>
                <w:rFonts w:hint="eastAsia" w:eastAsia="宋体"/>
                <w:kern w:val="0"/>
                <w:sz w:val="21"/>
                <w:szCs w:val="21"/>
              </w:rPr>
              <w:t>37.42</w:t>
            </w:r>
          </w:p>
          <w:p>
            <w:pPr>
              <w:snapToGrid w:val="0"/>
              <w:ind w:firstLine="0" w:firstLineChars="0"/>
              <w:jc w:val="center"/>
              <w:rPr>
                <w:rFonts w:eastAsia="宋体"/>
                <w:kern w:val="0"/>
                <w:sz w:val="21"/>
                <w:szCs w:val="21"/>
              </w:rPr>
            </w:pPr>
            <w:r>
              <w:rPr>
                <w:rFonts w:hint="eastAsia" w:eastAsia="宋体"/>
                <w:kern w:val="0"/>
                <w:sz w:val="21"/>
                <w:szCs w:val="21"/>
              </w:rPr>
              <w:t>初中：47.41</w:t>
            </w:r>
          </w:p>
          <w:p>
            <w:pPr>
              <w:snapToGrid w:val="0"/>
              <w:ind w:firstLine="0" w:firstLineChars="0"/>
              <w:jc w:val="center"/>
              <w:rPr>
                <w:rFonts w:eastAsia="宋体"/>
                <w:kern w:val="0"/>
                <w:sz w:val="21"/>
                <w:szCs w:val="21"/>
              </w:rPr>
            </w:pPr>
            <w:r>
              <w:rPr>
                <w:rFonts w:hint="eastAsia" w:eastAsia="宋体"/>
                <w:kern w:val="0"/>
                <w:sz w:val="21"/>
                <w:szCs w:val="21"/>
              </w:rPr>
              <w:t>高中：21.56</w:t>
            </w:r>
          </w:p>
        </w:tc>
        <w:tc>
          <w:tcPr>
            <w:tcW w:w="951" w:type="pct"/>
            <w:shd w:val="clear" w:color="auto" w:fill="auto"/>
            <w:noWrap/>
            <w:vAlign w:val="center"/>
          </w:tcPr>
          <w:p>
            <w:pPr>
              <w:snapToGrid w:val="0"/>
              <w:ind w:firstLine="0" w:firstLineChars="0"/>
              <w:rPr>
                <w:rFonts w:eastAsia="宋体"/>
                <w:kern w:val="0"/>
                <w:sz w:val="21"/>
                <w:szCs w:val="21"/>
              </w:rPr>
            </w:pPr>
          </w:p>
          <w:p>
            <w:pPr>
              <w:snapToGrid w:val="0"/>
              <w:ind w:firstLine="0" w:firstLineChars="0"/>
              <w:jc w:val="center"/>
              <w:rPr>
                <w:rFonts w:eastAsia="宋体"/>
                <w:kern w:val="0"/>
                <w:sz w:val="21"/>
                <w:szCs w:val="21"/>
              </w:rPr>
            </w:pPr>
            <w:r>
              <w:rPr>
                <w:rFonts w:hint="eastAsia" w:eastAsia="宋体"/>
                <w:kern w:val="0"/>
                <w:sz w:val="21"/>
                <w:szCs w:val="21"/>
              </w:rPr>
              <w:t>小学</w:t>
            </w:r>
            <w:r>
              <w:rPr>
                <w:rFonts w:eastAsia="宋体"/>
                <w:kern w:val="0"/>
                <w:sz w:val="21"/>
                <w:szCs w:val="21"/>
              </w:rPr>
              <w:t>：</w:t>
            </w:r>
            <w:r>
              <w:rPr>
                <w:rFonts w:hint="eastAsia" w:eastAsia="宋体"/>
                <w:kern w:val="0"/>
                <w:sz w:val="21"/>
                <w:szCs w:val="21"/>
              </w:rPr>
              <w:t>60</w:t>
            </w:r>
          </w:p>
          <w:p>
            <w:pPr>
              <w:snapToGrid w:val="0"/>
              <w:ind w:firstLine="0" w:firstLineChars="0"/>
              <w:jc w:val="center"/>
              <w:rPr>
                <w:rFonts w:eastAsia="宋体"/>
                <w:kern w:val="0"/>
                <w:sz w:val="21"/>
                <w:szCs w:val="21"/>
              </w:rPr>
            </w:pPr>
            <w:r>
              <w:rPr>
                <w:rFonts w:hint="eastAsia" w:eastAsia="宋体"/>
                <w:kern w:val="0"/>
                <w:sz w:val="21"/>
                <w:szCs w:val="21"/>
              </w:rPr>
              <w:t>初中</w:t>
            </w:r>
            <w:r>
              <w:rPr>
                <w:rFonts w:eastAsia="宋体"/>
                <w:kern w:val="0"/>
                <w:sz w:val="21"/>
                <w:szCs w:val="21"/>
              </w:rPr>
              <w:t>：</w:t>
            </w:r>
            <w:r>
              <w:rPr>
                <w:rFonts w:hint="eastAsia" w:eastAsia="宋体"/>
                <w:kern w:val="0"/>
                <w:sz w:val="21"/>
                <w:szCs w:val="21"/>
              </w:rPr>
              <w:t>60</w:t>
            </w:r>
          </w:p>
          <w:p>
            <w:pPr>
              <w:snapToGrid w:val="0"/>
              <w:ind w:firstLine="0" w:firstLineChars="0"/>
              <w:jc w:val="center"/>
              <w:rPr>
                <w:rFonts w:eastAsia="宋体"/>
                <w:kern w:val="0"/>
                <w:sz w:val="21"/>
                <w:szCs w:val="21"/>
              </w:rPr>
            </w:pPr>
            <w:r>
              <w:rPr>
                <w:rFonts w:hint="eastAsia" w:eastAsia="宋体"/>
                <w:kern w:val="0"/>
                <w:sz w:val="21"/>
                <w:szCs w:val="21"/>
              </w:rPr>
              <w:t>高中</w:t>
            </w:r>
            <w:r>
              <w:rPr>
                <w:rFonts w:eastAsia="宋体"/>
                <w:kern w:val="0"/>
                <w:sz w:val="21"/>
                <w:szCs w:val="21"/>
              </w:rPr>
              <w:t>：</w:t>
            </w:r>
            <w:r>
              <w:rPr>
                <w:rFonts w:hint="eastAsia" w:eastAsia="宋体"/>
                <w:kern w:val="0"/>
                <w:sz w:val="21"/>
                <w:szCs w:val="21"/>
              </w:rPr>
              <w:t>50</w:t>
            </w:r>
          </w:p>
          <w:p>
            <w:pPr>
              <w:snapToGrid w:val="0"/>
              <w:ind w:firstLine="0" w:firstLineChars="0"/>
              <w:rPr>
                <w:rFonts w:eastAsia="宋体"/>
                <w:kern w:val="0"/>
                <w:sz w:val="21"/>
                <w:szCs w:val="21"/>
              </w:rPr>
            </w:pPr>
          </w:p>
        </w:tc>
        <w:tc>
          <w:tcPr>
            <w:tcW w:w="680" w:type="pct"/>
            <w:vAlign w:val="center"/>
          </w:tcPr>
          <w:p>
            <w:pPr>
              <w:snapToGrid w:val="0"/>
              <w:ind w:firstLine="0" w:firstLineChars="0"/>
              <w:jc w:val="center"/>
              <w:rPr>
                <w:rFonts w:eastAsia="宋体"/>
                <w:kern w:val="0"/>
                <w:sz w:val="21"/>
                <w:szCs w:val="21"/>
              </w:rPr>
            </w:pPr>
            <w:r>
              <w:rPr>
                <w:rFonts w:hint="eastAsia" w:eastAsia="宋体"/>
                <w:kern w:val="0"/>
                <w:sz w:val="21"/>
                <w:szCs w:val="21"/>
              </w:rPr>
              <w:t>预期性</w:t>
            </w:r>
          </w:p>
        </w:tc>
      </w:tr>
    </w:tbl>
    <w:p>
      <w:pPr>
        <w:pStyle w:val="2"/>
        <w:ind w:firstLine="640"/>
      </w:pPr>
      <w:bookmarkStart w:id="52" w:name="_Toc59468242"/>
      <w:bookmarkStart w:id="53" w:name="_Toc56581703"/>
      <w:bookmarkStart w:id="54" w:name="_Toc58935956"/>
      <w:r>
        <w:rPr>
          <w:rFonts w:hint="eastAsia"/>
        </w:rPr>
        <w:t>三、建设绿色高质量</w:t>
      </w:r>
      <w:r>
        <w:t>现代化</w:t>
      </w:r>
      <w:r>
        <w:rPr>
          <w:rFonts w:hint="eastAsia"/>
        </w:rPr>
        <w:t>教育强区</w:t>
      </w:r>
      <w:bookmarkEnd w:id="52"/>
      <w:bookmarkEnd w:id="53"/>
      <w:bookmarkEnd w:id="54"/>
    </w:p>
    <w:p>
      <w:r>
        <w:rPr>
          <w:rFonts w:hint="eastAsia"/>
        </w:rPr>
        <w:t>“十四五”时期</w:t>
      </w:r>
      <w:r>
        <w:t>，要紧紧围绕</w:t>
      </w:r>
      <w:r>
        <w:rPr>
          <w:rFonts w:hint="eastAsia"/>
        </w:rPr>
        <w:t>建设高质量教育体系这一</w:t>
      </w:r>
      <w:r>
        <w:t>总目标，</w:t>
      </w:r>
      <w:r>
        <w:rPr>
          <w:rFonts w:hint="eastAsia"/>
        </w:rPr>
        <w:t>突出</w:t>
      </w:r>
      <w:r>
        <w:t>提高教育质量</w:t>
      </w:r>
      <w:r>
        <w:rPr>
          <w:rFonts w:hint="eastAsia"/>
        </w:rPr>
        <w:t>这个</w:t>
      </w:r>
      <w:r>
        <w:t>重点，</w:t>
      </w:r>
      <w:r>
        <w:rPr>
          <w:rFonts w:hint="eastAsia"/>
        </w:rPr>
        <w:t>以干部教师队伍建设为抓手，深化课程改革，</w:t>
      </w:r>
      <w:r>
        <w:t>促进</w:t>
      </w:r>
      <w:r>
        <w:rPr>
          <w:rFonts w:hint="eastAsia"/>
        </w:rPr>
        <w:t>各级各类</w:t>
      </w:r>
      <w:r>
        <w:t>教育</w:t>
      </w:r>
      <w:r>
        <w:rPr>
          <w:rFonts w:hint="eastAsia"/>
        </w:rPr>
        <w:t>全面协调</w:t>
      </w:r>
      <w:r>
        <w:t>发展</w:t>
      </w:r>
      <w:r>
        <w:rPr>
          <w:rFonts w:hint="eastAsia"/>
        </w:rPr>
        <w:t>，提升办学水平，建设教育强区。</w:t>
      </w:r>
    </w:p>
    <w:p>
      <w:pPr>
        <w:pStyle w:val="3"/>
        <w:ind w:firstLineChars="0"/>
      </w:pPr>
      <w:bookmarkStart w:id="55" w:name="_Toc56581771"/>
      <w:bookmarkStart w:id="56" w:name="_Toc58935957"/>
      <w:bookmarkStart w:id="57" w:name="_Toc59468243"/>
      <w:bookmarkStart w:id="58" w:name="_Toc56581704"/>
      <w:r>
        <w:rPr>
          <w:rFonts w:hint="eastAsia"/>
        </w:rPr>
        <w:t>（一）切实加强党</w:t>
      </w:r>
      <w:r>
        <w:t>对教育</w:t>
      </w:r>
      <w:r>
        <w:rPr>
          <w:rFonts w:hint="eastAsia"/>
        </w:rPr>
        <w:t>工作</w:t>
      </w:r>
      <w:r>
        <w:t>的全面领导</w:t>
      </w:r>
      <w:bookmarkEnd w:id="55"/>
      <w:bookmarkEnd w:id="56"/>
      <w:bookmarkEnd w:id="57"/>
    </w:p>
    <w:p>
      <w:pPr>
        <w:rPr>
          <w:rFonts w:hint="eastAsia"/>
        </w:rPr>
      </w:pPr>
      <w:bookmarkStart w:id="59" w:name="_Toc58935958"/>
      <w:r>
        <w:rPr>
          <w:rFonts w:hint="eastAsia"/>
        </w:rPr>
        <w:t>坚持和完善党的领导。</w:t>
      </w:r>
      <w:bookmarkEnd w:id="59"/>
      <w:r>
        <w:rPr>
          <w:rFonts w:hint="eastAsia"/>
        </w:rPr>
        <w:t>坚持用习近平新时代中国特色社会主义思想武装头脑、指导工作，落实“不忘初心、牢记使命”主题教育常态化，在思想上政治上行动上同以习近平同志为核心的党中央保持高度一致。各级学校党组织要切实履行好管党治党的主体责任，建立健全坚持和加强党的领导的组织体系、制度体系、工作机制，坚定不移维护党中央权威和集中统一领导，自觉在政治立场、政治方向、政治原则、政治道路上同以习近平为核心的党中央保持高度一致。区委和区政府要把教育改革发展纳入议事日程，区委教育工作领导小组协调动员各方力量共同推进教育现代化，将教育工作重大问题作为重要议题，每年至少听取1次义务教育工作和教师队伍建设工作汇报。严格执行重大事项请示报告制度，形成教育系统各级党组织上下贯通、执行有力的严密体系。坚持民主集中制，贯彻党管干部、党管人才原则，加强忠诚干净担当的高素质专业化干部队伍建设。走好新时代群众路线，完善党员干部联系群众制度，健全群团工作体系，使教育领域成为坚持党的全面领导的坚强阵地。</w:t>
      </w:r>
    </w:p>
    <w:p>
      <w:bookmarkStart w:id="60" w:name="_Toc58935959"/>
      <w:r>
        <w:rPr>
          <w:rFonts w:hint="eastAsia"/>
        </w:rPr>
        <w:t>全面加强基层党建工作。</w:t>
      </w:r>
      <w:bookmarkEnd w:id="60"/>
      <w:r>
        <w:rPr>
          <w:rFonts w:hint="eastAsia"/>
        </w:rPr>
        <w:t>支持学校党组织讨论决定学校重大问题，履行好把方向、管大局、作决策、抓班子、带队伍、保落实的领导职责，保证党的路线方针政策及上级党组织决定不折不扣得到贯彻落实。切实加强教育系统领导班子和干部队伍建设，深化干部人事制度改革，坚持德才兼备、以德为先用人标准，严把资格条件和选任程序，配齐配强学校领导班子。健全体现科学发展观和正确政绩观要求的考核评价体系，抓好教育系统基层党建述职评议考核工作，充分发挥考核“指挥棒”作用。持续落实“双培养”制度，加大在思政课教师中发展党员的力度，确保发展党员的质量。持续推进民办学校党的组织和党的工作有效覆盖，充分发挥民办学校党组织政治核心作用，建立健全党组织参与决策和监督机制。持续做好教育系统党建品牌创建活动，切实激发党组织活力和全体党员干事创业的热情。推进党建与育人工作、与教育教学、与学校改革发展深度融合。大力提升基层党组织的组织力，突出政治功能、强化政治引领，充分发挥基层党组织战斗堡垒作用和基层党员先锋模范作用。</w:t>
      </w:r>
    </w:p>
    <w:p>
      <w:bookmarkStart w:id="61" w:name="_Toc58935960"/>
      <w:r>
        <w:rPr>
          <w:rFonts w:hint="eastAsia"/>
        </w:rPr>
        <w:t>营造风清气正干事创业氛围。</w:t>
      </w:r>
      <w:bookmarkEnd w:id="61"/>
      <w:r>
        <w:rPr>
          <w:rFonts w:hint="eastAsia"/>
        </w:rPr>
        <w:t>全面落实从严治党要求，严明党的政治纪律和政治规矩，严格落实新形势下党内政治生活若干准则，全面净化党内政治生态。强化党风廉政建设“两个责任”的落实，加强对“三重一大”事项的监管，增强政治定力和政治能力。加强党员管理，按照忠诚干净担当标准抓班子、带队伍。加强干部培训，切实提升干部政治判断力、政治领悟力和政治执行力。加大宣传教育力度，大力弘扬忠诚老实、公道正派、实事求是、清正廉洁的价值观。</w:t>
      </w:r>
    </w:p>
    <w:p>
      <w:pPr>
        <w:pStyle w:val="3"/>
        <w:ind w:firstLine="640"/>
      </w:pPr>
      <w:bookmarkStart w:id="62" w:name="_Toc58935961"/>
      <w:bookmarkStart w:id="63" w:name="_Toc59468244"/>
      <w:r>
        <w:rPr>
          <w:rFonts w:hint="eastAsia"/>
        </w:rPr>
        <w:t>（二）</w:t>
      </w:r>
      <w:bookmarkEnd w:id="58"/>
      <w:bookmarkStart w:id="64" w:name="_Toc56581705"/>
      <w:r>
        <w:rPr>
          <w:rFonts w:hint="eastAsia"/>
        </w:rPr>
        <w:t>全面落实新时代</w:t>
      </w:r>
      <w:r>
        <w:t>立德树人</w:t>
      </w:r>
      <w:bookmarkEnd w:id="62"/>
      <w:bookmarkEnd w:id="63"/>
      <w:r>
        <w:rPr>
          <w:rFonts w:hint="eastAsia"/>
        </w:rPr>
        <w:t>根本任务</w:t>
      </w:r>
    </w:p>
    <w:p>
      <w:pPr>
        <w:rPr>
          <w:kern w:val="0"/>
          <w:highlight w:val="yellow"/>
          <w:shd w:val="clear" w:color="auto" w:fill="FFFFFF"/>
        </w:rPr>
      </w:pPr>
      <w:bookmarkStart w:id="65" w:name="_Toc58935962"/>
      <w:r>
        <w:rPr>
          <w:rFonts w:hint="eastAsia"/>
        </w:rPr>
        <w:t>构建以社会主义核心价值观为引领的中小幼一体化德育体系。</w:t>
      </w:r>
      <w:bookmarkEnd w:id="64"/>
      <w:bookmarkEnd w:id="65"/>
      <w:r>
        <w:rPr>
          <w:rFonts w:hint="eastAsia"/>
        </w:rPr>
        <w:t>全面推进习近平新时代中国特色社会主义思想进课程、进课堂、进师生头脑。坚持思政课在课程体系中的政治引领和价值引领作用，统筹中小学思政课一体化建设，开足开好中小学思政课程。建立健全德育课程与学科德育、思政课程与课程思政协同育人的工作机制。</w:t>
      </w:r>
      <w:r>
        <w:rPr>
          <w:rFonts w:hint="eastAsia"/>
          <w:kern w:val="0"/>
          <w:shd w:val="clear" w:color="auto" w:fill="FFFFFF"/>
        </w:rPr>
        <w:t>健全全员育人、全过程育人、全方位育人的体制机制，</w:t>
      </w:r>
      <w:r>
        <w:rPr>
          <w:rFonts w:hint="eastAsia"/>
        </w:rPr>
        <w:t>统筹好校内教育和社会实践、研学旅行等校外活动，</w:t>
      </w:r>
      <w:r>
        <w:rPr>
          <w:rFonts w:hint="eastAsia"/>
          <w:kern w:val="0"/>
          <w:shd w:val="clear" w:color="auto" w:fill="FFFFFF"/>
        </w:rPr>
        <w:t>构建社会主义核心价值观有效贯穿融入，中小幼有机衔接的学校德育工作体系。</w:t>
      </w:r>
      <w:r>
        <w:rPr>
          <w:rFonts w:hint="eastAsia"/>
        </w:rPr>
        <w:t>深入开展理想信念教育</w:t>
      </w:r>
      <w:r>
        <w:rPr>
          <w:rFonts w:hint="eastAsia"/>
          <w:kern w:val="0"/>
          <w:shd w:val="clear" w:color="auto" w:fill="FFFFFF"/>
        </w:rPr>
        <w:t>，引导学生树立正确的国家观、历史观、民族观、文化观，切实增强“四个自信”，厚植爱党爱国爱人民思想情怀。加强品德修养教育，大力开展中华优秀传统文化、生态文明、心理健康教育，帮助学生养成良好行为习惯、个人品德和社会公德。完善法治教育工作内容，大力</w:t>
      </w:r>
      <w:r>
        <w:rPr>
          <w:kern w:val="0"/>
          <w:shd w:val="clear" w:color="auto" w:fill="FFFFFF"/>
        </w:rPr>
        <w:t>提升宪法法治教育质量，</w:t>
      </w:r>
      <w:r>
        <w:rPr>
          <w:rFonts w:hint="eastAsia"/>
          <w:kern w:val="0"/>
          <w:shd w:val="clear" w:color="auto" w:fill="FFFFFF"/>
        </w:rPr>
        <w:t>弘扬</w:t>
      </w:r>
      <w:r>
        <w:rPr>
          <w:kern w:val="0"/>
          <w:shd w:val="clear" w:color="auto" w:fill="FFFFFF"/>
        </w:rPr>
        <w:t>社会主义</w:t>
      </w:r>
      <w:r>
        <w:rPr>
          <w:rFonts w:hint="eastAsia"/>
          <w:kern w:val="0"/>
          <w:shd w:val="clear" w:color="auto" w:fill="FFFFFF"/>
        </w:rPr>
        <w:t>法治</w:t>
      </w:r>
      <w:r>
        <w:rPr>
          <w:kern w:val="0"/>
          <w:shd w:val="clear" w:color="auto" w:fill="FFFFFF"/>
        </w:rPr>
        <w:t>精神，</w:t>
      </w:r>
      <w:r>
        <w:rPr>
          <w:rFonts w:hint="eastAsia"/>
          <w:kern w:val="0"/>
          <w:shd w:val="clear" w:color="auto" w:fill="FFFFFF"/>
        </w:rPr>
        <w:t>提高</w:t>
      </w:r>
      <w:r>
        <w:rPr>
          <w:kern w:val="0"/>
          <w:shd w:val="clear" w:color="auto" w:fill="FFFFFF"/>
        </w:rPr>
        <w:t>法治教育的针对性和实效性</w:t>
      </w:r>
      <w:r>
        <w:rPr>
          <w:rFonts w:hint="eastAsia"/>
          <w:kern w:val="0"/>
          <w:shd w:val="clear" w:color="auto" w:fill="FFFFFF"/>
        </w:rPr>
        <w:t>。充分发挥学校党组织、共青团、少先队的育人功能。持续开展文明校园创建，优化教育生态，强化学校家庭社会协同育人</w:t>
      </w:r>
      <w:r>
        <w:rPr>
          <w:kern w:val="0"/>
          <w:shd w:val="clear" w:color="auto" w:fill="FFFFFF"/>
        </w:rPr>
        <w:t>机制</w:t>
      </w:r>
      <w:r>
        <w:rPr>
          <w:rFonts w:hint="eastAsia"/>
          <w:kern w:val="0"/>
          <w:shd w:val="clear" w:color="auto" w:fill="FFFFFF"/>
        </w:rPr>
        <w:t>，构建各级党政机关、社会团体、企事业单位及街道社区家庭共同育人的格局，提高协同育人效果。</w:t>
      </w:r>
    </w:p>
    <w:p>
      <w:pPr>
        <w:ind w:firstLine="0" w:firstLineChars="0"/>
        <w:rPr>
          <w:rFonts w:ascii="仿宋_GB2312"/>
          <w:szCs w:val="32"/>
        </w:rPr>
      </w:pPr>
      <w:r>
        <w:pict>
          <v:shape id="1027" o:spid="_x0000_s1035" o:spt="202" type="#_x0000_t202" style="height:659.5pt;width:415.3pt;" coordsize="21600,21600" o:gfxdata="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FNjydYAAAAGAQAADwAAAAAAAAABACAAAAAiAAAAZHJzL2Rvd25yZXYueG1sUEsBAhQA&#10;FAAAAAgAh07iQIFhmtotAgAAgQQAAA4AAAAAAAAAAQAgAAAAJQEAAGRycy9lMm9Eb2MueG1sUEsF&#10;BgAAAAAGAAYAWQEAAMQFAAAAAA==&#10;">
            <v:path/>
            <v:fill focussize="0,0"/>
            <v:stroke joinstyle="miter"/>
            <v:imagedata o:title=""/>
            <o:lock v:ext="edit"/>
            <v:textbox>
              <w:txbxContent>
                <w:p>
                  <w:pPr>
                    <w:ind w:firstLine="0" w:firstLineChars="0"/>
                    <w:jc w:val="left"/>
                    <w:rPr>
                      <w:rFonts w:ascii="黑体" w:hAnsi="黑体" w:eastAsia="黑体"/>
                    </w:rPr>
                  </w:pPr>
                  <w:bookmarkStart w:id="165" w:name="_Toc58935963"/>
                  <w:bookmarkStart w:id="166" w:name="_Toc56581706"/>
                  <w:bookmarkStart w:id="167" w:name="_Toc58936045"/>
                  <w:bookmarkStart w:id="168" w:name="_Toc58402288"/>
                  <w:r>
                    <w:rPr>
                      <w:rFonts w:hint="eastAsia" w:ascii="黑体" w:hAnsi="黑体" w:eastAsia="黑体"/>
                    </w:rPr>
                    <w:t>专栏</w:t>
                  </w:r>
                  <w:r>
                    <w:rPr>
                      <w:rFonts w:ascii="黑体" w:hAnsi="黑体" w:eastAsia="黑体"/>
                    </w:rPr>
                    <w:t>1</w:t>
                  </w:r>
                  <w:r>
                    <w:rPr>
                      <w:rFonts w:hint="eastAsia" w:ascii="黑体" w:hAnsi="黑体" w:eastAsia="黑体"/>
                    </w:rPr>
                    <w:t xml:space="preserve">    </w:t>
                  </w:r>
                  <w:r>
                    <w:rPr>
                      <w:rFonts w:ascii="黑体" w:hAnsi="黑体" w:eastAsia="黑体"/>
                    </w:rPr>
                    <w:t xml:space="preserve">        </w:t>
                  </w:r>
                  <w:r>
                    <w:rPr>
                      <w:rFonts w:hint="eastAsia" w:ascii="黑体" w:hAnsi="黑体" w:eastAsia="黑体"/>
                    </w:rPr>
                    <w:t>新时代立德树人工程</w:t>
                  </w:r>
                  <w:bookmarkEnd w:id="165"/>
                  <w:bookmarkEnd w:id="166"/>
                  <w:bookmarkEnd w:id="167"/>
                  <w:bookmarkEnd w:id="168"/>
                </w:p>
                <w:p>
                  <w:r>
                    <w:rPr>
                      <w:rFonts w:hint="eastAsia"/>
                    </w:rPr>
                    <w:t>紧紧围绕立德树人这一根本任务，将其融入思想道德教育、文化知识教育、社会实践活动各个环节。</w:t>
                  </w:r>
                </w:p>
                <w:p>
                  <w:r>
                    <w:rPr>
                      <w:rFonts w:hint="eastAsia"/>
                    </w:rPr>
                    <w:t>健全中小幼德育工作重点任务清单。明确各学段德育重点内容、目标要求、实施途径和保障措施，形成中小幼一体化的落实机制，创建一批“三全育人”示范校。</w:t>
                  </w:r>
                </w:p>
                <w:p>
                  <w:r>
                    <w:rPr>
                      <w:rFonts w:hint="eastAsia"/>
                    </w:rPr>
                    <w:t>实施学校思政课质量提升行动。建立中小学思政课协同创新中心，对标“六要”要求，健全思政课教师协同培养机制，将幼儿园园长纳入思政工作培训体系。加强思政课教师实践锻炼，全面提升思政课教师专业素养。改革思政课教学质量评价方式，注重知行合一，强化实践育人。</w:t>
                  </w:r>
                </w:p>
                <w:p>
                  <w:r>
                    <w:rPr>
                      <w:rFonts w:hint="eastAsia"/>
                    </w:rPr>
                    <w:t>完善课程思政和思政课程同向同行机制。深入发掘各类课程的思想政治教育资源，把思想政治教育贯穿教育教学全过程，形成课程思政与思政课程深度融合，同向同行。培育一批中小学学科德育精品课程和德育示范案例。</w:t>
                  </w:r>
                </w:p>
                <w:p>
                  <w:r>
                    <w:rPr>
                      <w:rFonts w:hint="eastAsia"/>
                    </w:rPr>
                    <w:t>实施家校合作行动。深化家庭教育，全面成立家长委员会、办好家长学校，引导家长用好《家庭教育手册》，践行《家长家庭教育基本行为规范》。推动入户家访常态化，优化家校、师生关系，建立家校共育长效机制。打造一批家庭教育示范校。</w:t>
                  </w:r>
                </w:p>
              </w:txbxContent>
            </v:textbox>
            <w10:wrap type="none"/>
            <w10:anchorlock/>
          </v:shape>
        </w:pict>
      </w:r>
    </w:p>
    <w:p>
      <w:bookmarkStart w:id="66" w:name="_Toc58935964"/>
      <w:bookmarkStart w:id="67" w:name="_Toc56581709"/>
      <w:r>
        <w:rPr>
          <w:rFonts w:hint="eastAsia"/>
        </w:rPr>
        <w:t>深化课程</w:t>
      </w:r>
      <w:r>
        <w:t>改革</w:t>
      </w:r>
      <w:r>
        <w:rPr>
          <w:rFonts w:hint="eastAsia"/>
        </w:rPr>
        <w:t>，</w:t>
      </w:r>
      <w:r>
        <w:t>提升</w:t>
      </w:r>
      <w:r>
        <w:rPr>
          <w:rFonts w:hint="eastAsia"/>
        </w:rPr>
        <w:t>智育水平。</w:t>
      </w:r>
      <w:bookmarkEnd w:id="66"/>
      <w:r>
        <w:rPr>
          <w:rFonts w:hint="eastAsia" w:ascii="仿宋_GB2312" w:hAnsi="华文仿宋" w:cs="华文仿宋"/>
          <w:szCs w:val="32"/>
        </w:rPr>
        <w:t>严格落实国家课程方案和课程标准，加强国家教学成果推广应用。</w:t>
      </w:r>
      <w:r>
        <w:rPr>
          <w:rFonts w:hint="eastAsia"/>
        </w:rPr>
        <w:t>以绿色教育理念为引领，构建绿色课程，广泛开展阅读活动，加强人文教育与科学教育的融合，加强实验教学，着力培养学生创新思维和社会发展需要的正确价值观念、关键能力、必备品格，增长知识见识。增强学校课程建设和实施能力，引导学校树立基于国家课程标准的课程改革，开展特色实验课程、综合实践课程、</w:t>
      </w:r>
      <w:r>
        <w:t>地方特色课程</w:t>
      </w:r>
      <w:r>
        <w:rPr>
          <w:rFonts w:hint="eastAsia"/>
        </w:rPr>
        <w:t>实验。加强校本课程监管，构建学校间共建共享机制。精准分析学情，重视差异化教学和个别化指导。提高作业设计质量，精心设计基础性作业，适当增加探究性、实践性、综合性作业。以专业部门的引领为依托，以科研课题为抓手，开展绿色教学关系的确立、绿色教育教学理念落地的行动研究。</w:t>
      </w:r>
    </w:p>
    <w:bookmarkEnd w:id="67"/>
    <w:p>
      <w:pPr>
        <w:ind w:firstLine="0" w:firstLineChars="0"/>
      </w:pPr>
      <w:r>
        <w:pict>
          <v:shape id="1029" o:spid="_x0000_s1034" o:spt="202" type="#_x0000_t202" style="height:538.6pt;width:409.1pt;" coordsize="21600,21600" o:gfxdata="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hu9GdYAAAAGAQAADwAAAAAAAAABACAAAAAiAAAAZHJzL2Rvd25yZXYueG1sUEsBAhQA&#10;FAAAAAgAh07iQP2JxkItAgAAgQQAAA4AAAAAAAAAAQAgAAAAJQEAAGRycy9lMm9Eb2MueG1sUEsF&#10;BgAAAAAGAAYAWQEAAMQFAAAAAA==&#10;">
            <v:path/>
            <v:fill focussize="0,0"/>
            <v:stroke joinstyle="miter"/>
            <v:imagedata o:title=""/>
            <o:lock v:ext="edit"/>
            <v:textbox>
              <w:txbxContent>
                <w:p>
                  <w:pPr>
                    <w:ind w:firstLine="0" w:firstLineChars="0"/>
                    <w:jc w:val="left"/>
                    <w:rPr>
                      <w:rFonts w:ascii="黑体" w:hAnsi="黑体" w:eastAsia="黑体"/>
                    </w:rPr>
                  </w:pPr>
                  <w:bookmarkStart w:id="169" w:name="_Toc56581708"/>
                  <w:bookmarkStart w:id="170" w:name="_Toc58936046"/>
                  <w:bookmarkStart w:id="171" w:name="_Toc58935965"/>
                  <w:bookmarkStart w:id="172" w:name="_Toc58402290"/>
                  <w:r>
                    <w:rPr>
                      <w:rFonts w:hint="eastAsia" w:ascii="黑体" w:hAnsi="黑体" w:eastAsia="黑体"/>
                    </w:rPr>
                    <w:t>专栏</w:t>
                  </w:r>
                  <w:r>
                    <w:rPr>
                      <w:rFonts w:ascii="黑体" w:hAnsi="黑体" w:eastAsia="黑体"/>
                    </w:rPr>
                    <w:t>2</w:t>
                  </w:r>
                  <w:bookmarkEnd w:id="169"/>
                  <w:r>
                    <w:rPr>
                      <w:rFonts w:hint="eastAsia" w:ascii="黑体" w:hAnsi="黑体" w:eastAsia="黑体"/>
                    </w:rPr>
                    <w:t xml:space="preserve">         </w:t>
                  </w:r>
                  <w:r>
                    <w:rPr>
                      <w:rFonts w:ascii="黑体" w:hAnsi="黑体" w:eastAsia="黑体"/>
                    </w:rPr>
                    <w:t>教学质量提升</w:t>
                  </w:r>
                  <w:r>
                    <w:rPr>
                      <w:rFonts w:hint="eastAsia" w:ascii="黑体" w:hAnsi="黑体" w:eastAsia="黑体"/>
                    </w:rPr>
                    <w:t>工程</w:t>
                  </w:r>
                  <w:bookmarkEnd w:id="170"/>
                  <w:bookmarkEnd w:id="171"/>
                  <w:bookmarkEnd w:id="172"/>
                </w:p>
                <w:p>
                  <w:pPr>
                    <w:ind w:firstLineChars="0"/>
                  </w:pPr>
                  <w:r>
                    <w:rPr>
                      <w:rFonts w:hint="eastAsia"/>
                    </w:rPr>
                    <w:t>深化课程改革，全面落实国家课程标准和课程方案。通过多种形式深化教师对国家课程标准的领悟和执行能力，使每一名教师都具备把国家课程标准落实到课堂教学过程中的能力。打造精品校本课程，培育8—10所课程建设基地校。</w:t>
                  </w:r>
                </w:p>
                <w:p>
                  <w:pPr>
                    <w:ind w:firstLineChars="0"/>
                  </w:pPr>
                  <w:r>
                    <w:rPr>
                      <w:rFonts w:hint="eastAsia"/>
                    </w:rPr>
                    <w:t>优化教学方式，教学方式要符合学生的认知规律。加强国家教学成果的推广，使教师掌握教学设计的基本原则，提高课堂教学设计、实施能力。培育和推广先进教学模式，深化课堂教学与信息技术的融合，提高课堂教学效果。</w:t>
                  </w:r>
                </w:p>
                <w:p>
                  <w:r>
                    <w:rPr>
                      <w:rFonts w:hint="eastAsia" w:ascii="仿宋_GB2312" w:hAnsi="华文仿宋" w:cs="华文仿宋"/>
                      <w:szCs w:val="32"/>
                    </w:rPr>
                    <w:t>改革教学评价方式，充分利用信息技术，提高教学评价的科学性、客观性。改进结果评价，强化过程评价，探索增值评价，健全综合评价。</w:t>
                  </w:r>
                  <w:r>
                    <w:rPr>
                      <w:rFonts w:hint="eastAsia"/>
                    </w:rPr>
                    <w:t>开展国家义务教育质量监测结果应用行动研究，建立基于质量监测结果的反馈改进机制，充分发挥其在精准教研和改进课堂教学以及学校管理方面的作用。</w:t>
                  </w:r>
                </w:p>
              </w:txbxContent>
            </v:textbox>
            <w10:wrap type="none"/>
            <w10:anchorlock/>
          </v:shape>
        </w:pict>
      </w:r>
      <w:bookmarkStart w:id="68" w:name="_Toc58935966"/>
    </w:p>
    <w:p>
      <w:pPr>
        <w:ind w:firstLineChars="0"/>
      </w:pPr>
    </w:p>
    <w:p>
      <w:r>
        <w:rPr>
          <w:rFonts w:hint="eastAsia"/>
        </w:rPr>
        <w:t>坚持健康第一，强化学校体育工作。</w:t>
      </w:r>
      <w:bookmarkEnd w:id="68"/>
      <w:r>
        <w:rPr>
          <w:rFonts w:hint="eastAsia"/>
        </w:rPr>
        <w:t>准确把握学生体质健康状况和变化趋势，2025年中小学生体质健康及格率达95%以上，优良率达50%以上。实施《学校体育教师配备和场地器材建设三年行动计划》，深化体育教学改革，补齐体育师资、场馆等短板。逐步完善“健康知识+基本运动技能+专项运动技能”的学校体育教学模式。帮助学生掌握1至</w:t>
      </w:r>
      <w:r>
        <w:t>3</w:t>
      </w:r>
      <w:r>
        <w:rPr>
          <w:rFonts w:hint="eastAsia"/>
        </w:rPr>
        <w:t>项运动技能。广泛开展校园普及性体育运动，推广中华传统体育项目，组建体育兴趣小组、社团和俱乐部。健全学生视力健康综合干预体系，严格执行综合防控儿童青少年近视工作方案，控制青少年近视发生率，每年至少降低1个百分点。以体育锻炼、健康教育、疾病防控为重点，完善学校、社区、家庭“三结合”的学生体质健康促进工作机制。学校每年至少举办一次综合性运动会或体育节，5项以上全校特色项目体育比赛。全区每年组织一次中小学田径运动会，开展不少于10项区域内体育竞赛活动。指导学校举办有学生、教职工、家长参与的全员运动会。引导家长树立科学</w:t>
      </w:r>
      <w:r>
        <w:t>的健康观，配合学校积极参与和</w:t>
      </w:r>
      <w:r>
        <w:rPr>
          <w:rFonts w:hint="eastAsia"/>
        </w:rPr>
        <w:t>陪伴学生共同进行体育锻炼。</w:t>
      </w:r>
    </w:p>
    <w:p>
      <w:pPr>
        <w:ind w:firstLine="0" w:firstLineChars="0"/>
      </w:pPr>
      <w:r>
        <w:pict>
          <v:shape id="1031" o:spid="_x0000_s1033" o:spt="202" type="#_x0000_t202" style="height:110.6pt;width:417.75pt;" coordsize="21600,21600" o:gfxdata="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OHrrnVAAAABQEAAA8AAAAAAAAAAQAgAAAAIgAAAGRycy9kb3ducmV2LnhtbFBLAQIUABQA&#10;AAAIAIdO4kAwuUgRLAIAAIEEAAAOAAAAAAAAAAEAIAAAACQBAABkcnMvZTJvRG9jLnhtbFBLBQYA&#10;AAAABgAGAFkBAADCBQAAAAA=&#10;">
            <v:path/>
            <v:fill focussize="0,0"/>
            <v:stroke joinstyle="miter"/>
            <v:imagedata o:title=""/>
            <o:lock v:ext="edit"/>
            <v:textbox style="mso-fit-shape-to-text:t;">
              <w:txbxContent>
                <w:p>
                  <w:pPr>
                    <w:ind w:firstLine="0" w:firstLineChars="0"/>
                    <w:jc w:val="left"/>
                    <w:rPr>
                      <w:rFonts w:ascii="黑体" w:hAnsi="黑体" w:eastAsia="黑体"/>
                    </w:rPr>
                  </w:pPr>
                  <w:bookmarkStart w:id="173" w:name="_Toc58935967"/>
                  <w:bookmarkStart w:id="174" w:name="_Toc56581710"/>
                  <w:bookmarkStart w:id="175" w:name="_Toc58402292"/>
                  <w:bookmarkStart w:id="176" w:name="_Toc58936047"/>
                  <w:r>
                    <w:rPr>
                      <w:rFonts w:hint="eastAsia" w:ascii="黑体" w:hAnsi="黑体" w:eastAsia="黑体"/>
                    </w:rPr>
                    <w:t>专栏</w:t>
                  </w:r>
                  <w:r>
                    <w:rPr>
                      <w:rFonts w:ascii="黑体" w:hAnsi="黑体" w:eastAsia="黑体"/>
                    </w:rPr>
                    <w:t>3</w:t>
                  </w:r>
                  <w:r>
                    <w:rPr>
                      <w:rFonts w:hint="eastAsia" w:ascii="黑体" w:hAnsi="黑体" w:eastAsia="黑体"/>
                    </w:rPr>
                    <w:t xml:space="preserve">           学生体质</w:t>
                  </w:r>
                  <w:r>
                    <w:rPr>
                      <w:rFonts w:ascii="黑体" w:hAnsi="黑体" w:eastAsia="黑体"/>
                    </w:rPr>
                    <w:t>健康提升工程</w:t>
                  </w:r>
                  <w:bookmarkEnd w:id="173"/>
                  <w:bookmarkEnd w:id="174"/>
                  <w:bookmarkEnd w:id="175"/>
                  <w:bookmarkEnd w:id="176"/>
                </w:p>
                <w:p>
                  <w:r>
                    <w:rPr>
                      <w:rFonts w:hint="eastAsia"/>
                    </w:rPr>
                    <w:t>保证学生体育锻炼时间。严格落实学校体育课程开设刚性要求，全区中小学力争每天开设1节体育课或保障学生每天1小时户外活动时间。每年开展学生体质健康和视力监测。学校布置科学合理的体育家庭作业，鼓励学生参与校外全民健身运动。</w:t>
                  </w:r>
                </w:p>
                <w:p>
                  <w:r>
                    <w:rPr>
                      <w:rFonts w:hint="eastAsia"/>
                    </w:rPr>
                    <w:t>丰富学生体育运动资源。挖掘民间体育资源，推广转呼啦圈、跳皮筋、踢毽子、滚铁环、抽陀螺等简便易行的民间体育项目。大力提升学校体育运动条件，打造10所学校传统体育项目示范校。创建</w:t>
                  </w:r>
                  <w:r>
                    <w:rPr>
                      <w:rFonts w:hint="eastAsia"/>
                      <w:lang w:val="en-US" w:eastAsia="zh-CN"/>
                    </w:rPr>
                    <w:t>10</w:t>
                  </w:r>
                  <w:r>
                    <w:rPr>
                      <w:rFonts w:hint="eastAsia"/>
                    </w:rPr>
                    <w:t>所校园足球、篮球、</w:t>
                  </w:r>
                  <w:r>
                    <w:rPr>
                      <w:rFonts w:hint="eastAsia"/>
                      <w:lang w:eastAsia="zh-CN"/>
                    </w:rPr>
                    <w:t>乒乓球</w:t>
                  </w:r>
                  <w:r>
                    <w:rPr>
                      <w:rFonts w:hint="eastAsia"/>
                    </w:rPr>
                    <w:t>、武术</w:t>
                  </w:r>
                  <w:r>
                    <w:rPr>
                      <w:rFonts w:hint="eastAsia"/>
                      <w:lang w:eastAsia="zh-CN"/>
                    </w:rPr>
                    <w:t>等</w:t>
                  </w:r>
                  <w:r>
                    <w:rPr>
                      <w:rFonts w:hint="eastAsia"/>
                    </w:rPr>
                    <w:t>特色学校。</w:t>
                  </w:r>
                </w:p>
              </w:txbxContent>
            </v:textbox>
            <w10:wrap type="none"/>
            <w10:anchorlock/>
          </v:shape>
        </w:pict>
      </w:r>
    </w:p>
    <w:p>
      <w:bookmarkStart w:id="69" w:name="_Toc56581711"/>
      <w:bookmarkStart w:id="70" w:name="_Toc58935968"/>
      <w:r>
        <w:rPr>
          <w:rFonts w:hint="eastAsia"/>
        </w:rPr>
        <w:t>不断加强和改进学校美育。</w:t>
      </w:r>
      <w:bookmarkEnd w:id="69"/>
      <w:bookmarkEnd w:id="70"/>
      <w:r>
        <w:rPr>
          <w:rFonts w:hint="eastAsia"/>
        </w:rPr>
        <w:t>实施学校美育提升行动，在学生掌握必要基础知识和基本技能的基础上，着力提升文化理解、审美感知、艺术表现、创意实践等核心素养，帮助每位学生形成1至2项艺术专项特长。鼓励学校整合资源开展学生合唱、合奏、集体舞、课本剧等活动，开展美育课程教学、社团活动、展示交流。配齐配好美育教师，改善场地器材建设配备，整合美育资源，补齐发展短板，强化实践体验。把中小学生学习音乐、美术、书法等艺术类课程以及参与学校组织的艺术实践活动情况纳入学业要求。开齐开足上好美育课，完善“艺术基础知识基本技能+艺术审美体验+艺术专项特长”的教学模式。</w:t>
      </w:r>
      <w:r>
        <w:rPr>
          <w:rFonts w:hint="eastAsia" w:ascii="仿宋_GB2312" w:hAnsi="仿宋"/>
          <w:szCs w:val="32"/>
        </w:rPr>
        <w:t>强化学校美育育人功能，加强学科融合，整合美育资源，完善评价机制，形成全覆盖、多样化、高质量的现代化学校美育体系。丰富高品质艺术课程，完善艺术教育模式，实施“大艺术”教育，充分利用区域民族民间美育资源，开展戏曲、书法、绘画、剪纸、舞蹈等校本美育课程，打造中华</w:t>
      </w:r>
      <w:r>
        <w:rPr>
          <w:rFonts w:ascii="仿宋_GB2312" w:hAnsi="仿宋"/>
          <w:szCs w:val="32"/>
        </w:rPr>
        <w:t>传统文化</w:t>
      </w:r>
      <w:r>
        <w:rPr>
          <w:rFonts w:hint="eastAsia" w:ascii="仿宋_GB2312" w:hAnsi="仿宋"/>
          <w:szCs w:val="32"/>
        </w:rPr>
        <w:t>、</w:t>
      </w:r>
      <w:r>
        <w:rPr>
          <w:rFonts w:ascii="仿宋_GB2312" w:hAnsi="仿宋"/>
          <w:szCs w:val="32"/>
        </w:rPr>
        <w:t>艺术展示等美育项目，</w:t>
      </w:r>
      <w:r>
        <w:rPr>
          <w:rFonts w:hint="eastAsia" w:ascii="仿宋_GB2312" w:hAnsi="仿宋"/>
          <w:szCs w:val="32"/>
        </w:rPr>
        <w:t>增进学生文化认同，学生审美和人文素养明显提升。积极推进中小学生艺术素质测评。</w:t>
      </w:r>
    </w:p>
    <w:p>
      <w:pPr>
        <w:ind w:firstLine="0" w:firstLineChars="0"/>
      </w:pPr>
      <w:r>
        <w:pict>
          <v:shape id="1033" o:spid="_x0000_s1032" o:spt="202" type="#_x0000_t202" style="height:347.05pt;width:439.1pt;" coordsize="21600,21600" o:gfxdata="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NdiljWAAAABQEAAA8AAAAAAAAAAQAgAAAAIgAAAGRycy9kb3ducmV2LnhtbFBLAQIU&#10;ABQAAAAIAIdO4kBsguYeLgIAAIEEAAAOAAAAAAAAAAEAIAAAACUBAABkcnMvZTJvRG9jLnhtbFBL&#10;BQYAAAAABgAGAFkBAADFBQAAAAA=&#10;">
            <v:path/>
            <v:fill focussize="0,0"/>
            <v:stroke joinstyle="miter"/>
            <v:imagedata o:title=""/>
            <o:lock v:ext="edit"/>
            <v:textbox>
              <w:txbxContent>
                <w:p>
                  <w:pPr>
                    <w:ind w:firstLine="0" w:firstLineChars="0"/>
                    <w:jc w:val="left"/>
                    <w:rPr>
                      <w:rFonts w:ascii="黑体" w:hAnsi="黑体" w:eastAsia="黑体"/>
                    </w:rPr>
                  </w:pPr>
                  <w:bookmarkStart w:id="177" w:name="_Toc58935969"/>
                  <w:bookmarkStart w:id="178" w:name="_Toc58402294"/>
                  <w:bookmarkStart w:id="179" w:name="_Toc56581712"/>
                  <w:bookmarkStart w:id="180" w:name="_Toc58936048"/>
                  <w:r>
                    <w:rPr>
                      <w:rFonts w:hint="eastAsia" w:ascii="黑体" w:hAnsi="黑体" w:eastAsia="黑体"/>
                    </w:rPr>
                    <w:t>专栏</w:t>
                  </w:r>
                  <w:r>
                    <w:rPr>
                      <w:rFonts w:ascii="黑体" w:hAnsi="黑体" w:eastAsia="黑体"/>
                    </w:rPr>
                    <w:t>4</w:t>
                  </w:r>
                  <w:r>
                    <w:rPr>
                      <w:rFonts w:hint="eastAsia" w:ascii="黑体" w:hAnsi="黑体" w:eastAsia="黑体"/>
                    </w:rPr>
                    <w:t xml:space="preserve">            学校美育提升工程</w:t>
                  </w:r>
                  <w:bookmarkEnd w:id="177"/>
                  <w:bookmarkEnd w:id="178"/>
                  <w:bookmarkEnd w:id="179"/>
                  <w:bookmarkEnd w:id="180"/>
                </w:p>
                <w:p>
                  <w:pPr>
                    <w:rPr>
                      <w:rFonts w:ascii="仿宋_GB2312" w:hAnsi="仿宋"/>
                      <w:szCs w:val="32"/>
                    </w:rPr>
                  </w:pPr>
                  <w:r>
                    <w:rPr>
                      <w:rFonts w:hint="eastAsia" w:ascii="仿宋_GB2312" w:hAnsi="仿宋"/>
                      <w:szCs w:val="32"/>
                    </w:rPr>
                    <w:t>开齐开足艺术课程。全区中小学严格按照国家课程方案和课程标准开齐开足上好艺术课。以区少年宫为艺术教育基地，以音、美教研员为主导，开展美育教研活动，促进艺术教师执教能力和水平的提高。</w:t>
                  </w:r>
                </w:p>
                <w:p>
                  <w:r>
                    <w:rPr>
                      <w:rFonts w:hint="eastAsia" w:ascii="仿宋_GB2312" w:hAnsi="仿宋"/>
                      <w:szCs w:val="32"/>
                    </w:rPr>
                    <w:t>广泛开展校园艺术展示活动。中小学每年至少举办一次校园文化艺术节，充分展示学校艺术教育成果。</w:t>
                  </w:r>
                  <w:r>
                    <w:t>到2025年创建20个高水平学生艺术团、10个学校美育实践基地、10所艺术教育特色学校、10所中华优秀文化艺术传承学校。</w:t>
                  </w:r>
                  <w:r>
                    <w:rPr>
                      <w:rFonts w:hint="eastAsia"/>
                    </w:rPr>
                    <w:t>每年举办一次学校美育成果展示活动。</w:t>
                  </w:r>
                </w:p>
              </w:txbxContent>
            </v:textbox>
            <w10:wrap type="none"/>
            <w10:anchorlock/>
          </v:shape>
        </w:pict>
      </w:r>
    </w:p>
    <w:p>
      <w:pPr>
        <w:ind w:firstLine="480" w:firstLineChars="150"/>
      </w:pPr>
      <w:bookmarkStart w:id="71" w:name="_Toc58935970"/>
      <w:bookmarkStart w:id="72" w:name="_Toc56581713"/>
      <w:r>
        <w:rPr>
          <w:rFonts w:hint="eastAsia"/>
        </w:rPr>
        <w:t>把劳动教育摆在更加突出位置。</w:t>
      </w:r>
      <w:bookmarkEnd w:id="71"/>
      <w:bookmarkEnd w:id="72"/>
      <w:r>
        <w:rPr>
          <w:rFonts w:hint="eastAsia"/>
        </w:rPr>
        <w:t>发挥家庭在劳动教育中的基础作用、学校的主导作用、社会的支持作用，广泛开展劳动教育实践活动，引导学生每年学会</w:t>
      </w:r>
      <w:r>
        <w:t>2</w:t>
      </w:r>
      <w:r>
        <w:rPr>
          <w:rFonts w:hint="eastAsia"/>
        </w:rPr>
        <w:t>项生活生产技能。开齐开足劳动教育课程，不得挤占、挪用劳动实践时间，使学生养成劳动习惯、掌握劳动本领、树立热爱劳动的品质。小学注重劳动意识启蒙和习惯养成，适当参加校内外公益劳动，学会与他人合作劳动，体会到劳动光荣。初中注重增加劳动知识、技能，兼顾家政学习、校内外生产劳动、服务性劳动，开展职业启蒙教育，使学生初步养成认真负责、吃苦耐劳的品质和安全意识。普通高中注重围绕丰富职业体验，开展社会服务</w:t>
      </w:r>
      <w:r>
        <w:t>，</w:t>
      </w:r>
      <w:r>
        <w:rPr>
          <w:rFonts w:hint="eastAsia"/>
        </w:rPr>
        <w:t>参加生产劳动，使学生熟练掌握劳动技能，理解劳动创造价值，具有劳动自立意识和主动服务他人、服务社会的情怀。中等职业学校重点提高职业技能水平，培育学生工匠精神和爱岗敬业的劳动态度。</w:t>
      </w:r>
    </w:p>
    <w:p>
      <w:pPr>
        <w:ind w:firstLine="0" w:firstLineChars="0"/>
      </w:pPr>
      <w:r>
        <w:pict>
          <v:shape id="1035" o:spid="_x0000_s1031" o:spt="202" type="#_x0000_t202" style="height:418.75pt;width:411.05pt;" coordsize="21600,21600" o:gfxdata="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MV2IbPVAAAABQEAAA8AAAAAAAAAAQAgAAAAIgAAAGRycy9kb3ducmV2LnhtbFBLAQIUABQA&#10;AAAIAIdO4kBNJxLRLAIAAIEEAAAOAAAAAAAAAAEAIAAAACQBAABkcnMvZTJvRG9jLnhtbFBLBQYA&#10;AAAABgAGAFkBAADCBQAAAAA=&#10;">
            <v:path/>
            <v:fill focussize="0,0"/>
            <v:stroke joinstyle="miter"/>
            <v:imagedata o:title=""/>
            <o:lock v:ext="edit"/>
            <v:textbox>
              <w:txbxContent>
                <w:p>
                  <w:pPr>
                    <w:ind w:firstLine="0" w:firstLineChars="0"/>
                    <w:jc w:val="left"/>
                    <w:rPr>
                      <w:rFonts w:ascii="黑体" w:hAnsi="黑体" w:eastAsia="黑体"/>
                    </w:rPr>
                  </w:pPr>
                  <w:bookmarkStart w:id="181" w:name="_Toc58935971"/>
                  <w:bookmarkStart w:id="182" w:name="_Toc58402296"/>
                  <w:bookmarkStart w:id="183" w:name="_Toc56581714"/>
                  <w:bookmarkStart w:id="184" w:name="_Toc58936049"/>
                  <w:r>
                    <w:rPr>
                      <w:rFonts w:hint="eastAsia" w:ascii="黑体" w:hAnsi="黑体" w:eastAsia="黑体"/>
                    </w:rPr>
                    <w:t>专栏</w:t>
                  </w:r>
                  <w:r>
                    <w:rPr>
                      <w:rFonts w:ascii="黑体" w:hAnsi="黑体" w:eastAsia="黑体"/>
                    </w:rPr>
                    <w:t>5</w:t>
                  </w:r>
                  <w:r>
                    <w:rPr>
                      <w:rFonts w:hint="eastAsia" w:ascii="黑体" w:hAnsi="黑体" w:eastAsia="黑体"/>
                    </w:rPr>
                    <w:t xml:space="preserve">             劳动育人</w:t>
                  </w:r>
                  <w:r>
                    <w:rPr>
                      <w:rFonts w:ascii="黑体" w:hAnsi="黑体" w:eastAsia="黑体"/>
                    </w:rPr>
                    <w:t>工程</w:t>
                  </w:r>
                  <w:bookmarkEnd w:id="181"/>
                  <w:bookmarkEnd w:id="182"/>
                  <w:bookmarkEnd w:id="183"/>
                  <w:bookmarkEnd w:id="184"/>
                </w:p>
                <w:p>
                  <w:r>
                    <w:rPr>
                      <w:rFonts w:hint="eastAsia"/>
                    </w:rPr>
                    <w:t>落实劳动教育课程。严格按课程方案开足劳动教育课时，落实劳动教育内容，健全劳动素养评价制度，把劳动素养评价结果纳入学生综合素质评价中。</w:t>
                  </w:r>
                </w:p>
                <w:p>
                  <w:pPr>
                    <w:rPr>
                      <w:rFonts w:ascii="仿宋_GB2312" w:cs="仿宋_GB2312"/>
                    </w:rPr>
                  </w:pPr>
                  <w:r>
                    <w:rPr>
                      <w:rFonts w:hint="eastAsia"/>
                    </w:rPr>
                    <w:t>加强“劳动实践课堂”建设。</w:t>
                  </w:r>
                  <w:r>
                    <w:rPr>
                      <w:rFonts w:hint="eastAsia" w:ascii="仿宋_GB2312" w:cs="仿宋_GB2312"/>
                    </w:rPr>
                    <w:t>拓展劳动教育途径，整合家庭、学校社会各方面力量，</w:t>
                  </w:r>
                  <w:r>
                    <w:rPr>
                      <w:rFonts w:hint="eastAsia"/>
                    </w:rPr>
                    <w:t>培育一批校级和区级实践课程、示范课程，</w:t>
                  </w:r>
                  <w:r>
                    <w:rPr>
                      <w:rFonts w:hint="eastAsia" w:ascii="仿宋_GB2312" w:cs="仿宋_GB2312"/>
                    </w:rPr>
                    <w:t>着力打造劳动育人品牌。建好区级劳动教育实践基地，</w:t>
                  </w:r>
                  <w:r>
                    <w:rPr>
                      <w:rFonts w:hint="eastAsia"/>
                    </w:rPr>
                    <w:t>支持育才中学争创天津市青少年社会实践和劳动教育基地，</w:t>
                  </w:r>
                  <w:r>
                    <w:rPr>
                      <w:rFonts w:hint="eastAsia" w:ascii="仿宋_GB2312" w:cs="仿宋_GB2312"/>
                    </w:rPr>
                    <w:t>打造一批劳动教育合作基地。支持职教中心学校建设中小学生劳动实践工坊。</w:t>
                  </w:r>
                </w:p>
                <w:p>
                  <w:pPr>
                    <w:rPr>
                      <w:rFonts w:ascii="仿宋_GB2312" w:cs="仿宋_GB2312"/>
                    </w:rPr>
                  </w:pPr>
                  <w:r>
                    <w:rPr>
                      <w:rFonts w:hint="eastAsia" w:ascii="仿宋_GB2312" w:cs="仿宋_GB2312"/>
                    </w:rPr>
                    <w:t>开展劳动教育成果和学生劳动技能展示活动。每年举办一次校级、区级劳动教育成果和学生劳动技能展示，打造一批劳动教育特色学校，争创市级劳动教育示范区。</w:t>
                  </w:r>
                </w:p>
                <w:p>
                  <w:pPr>
                    <w:rPr>
                      <w:rFonts w:ascii="仿宋_GB2312" w:cs="仿宋_GB2312"/>
                    </w:rPr>
                  </w:pPr>
                </w:p>
                <w:p>
                  <w:pPr>
                    <w:rPr>
                      <w:rFonts w:ascii="仿宋_GB2312" w:cs="仿宋_GB2312"/>
                    </w:rPr>
                  </w:pPr>
                </w:p>
              </w:txbxContent>
            </v:textbox>
            <w10:wrap type="none"/>
            <w10:anchorlock/>
          </v:shape>
        </w:pict>
      </w:r>
    </w:p>
    <w:p>
      <w:pPr>
        <w:pStyle w:val="3"/>
        <w:ind w:firstLine="640"/>
      </w:pPr>
      <w:bookmarkStart w:id="73" w:name="_Toc59468245"/>
      <w:bookmarkStart w:id="74" w:name="_Toc56581715"/>
      <w:bookmarkStart w:id="75" w:name="_Toc58935972"/>
      <w:r>
        <w:rPr>
          <w:rFonts w:hint="eastAsia"/>
        </w:rPr>
        <w:t>（三）完善普惠性</w:t>
      </w:r>
      <w:r>
        <w:t>学前教育保障机制</w:t>
      </w:r>
      <w:bookmarkEnd w:id="73"/>
      <w:bookmarkEnd w:id="74"/>
      <w:bookmarkEnd w:id="75"/>
    </w:p>
    <w:p>
      <w:bookmarkStart w:id="76" w:name="_Toc58935973"/>
      <w:bookmarkStart w:id="77" w:name="_Toc56581716"/>
      <w:r>
        <w:rPr>
          <w:rFonts w:hint="eastAsia"/>
        </w:rPr>
        <w:t>扩大学前教育资源供给。</w:t>
      </w:r>
      <w:bookmarkEnd w:id="76"/>
      <w:bookmarkEnd w:id="77"/>
      <w:r>
        <w:rPr>
          <w:rFonts w:hint="eastAsia"/>
        </w:rPr>
        <w:t>通过接收小区教育配套、内部挖潜等多种方式，重点在华明街、金桥街、万新街、新立街、东丽湖街，新建一批公办幼儿园。通过减免租金、给予房租补贴、政府购买服务、开展教师培训等多种方式，支持民办园提供面向大众、收费合理、质量合格的普惠性服务。继续落实小区配套幼儿园“四同步”政策，加速园所二次装修和设施设备配备，将学位资源转化为有效招生能力，确保幼儿园如期开园。到2025年新投入使用</w:t>
      </w:r>
      <w:r>
        <w:rPr>
          <w:rFonts w:hint="eastAsia"/>
          <w:lang w:val="en-US" w:eastAsia="zh-CN"/>
        </w:rPr>
        <w:t>30</w:t>
      </w:r>
      <w:r>
        <w:rPr>
          <w:rFonts w:hint="eastAsia"/>
        </w:rPr>
        <w:t>所</w:t>
      </w:r>
      <w:r>
        <w:rPr>
          <w:rFonts w:hint="eastAsia"/>
          <w:lang w:eastAsia="zh-CN"/>
        </w:rPr>
        <w:t>幼儿园</w:t>
      </w:r>
      <w:r>
        <w:rPr>
          <w:rFonts w:hint="eastAsia"/>
        </w:rPr>
        <w:t>，新增学位</w:t>
      </w:r>
      <w:r>
        <w:rPr>
          <w:rFonts w:hint="eastAsia"/>
          <w:lang w:val="en-US" w:eastAsia="zh-CN"/>
        </w:rPr>
        <w:t>9180</w:t>
      </w:r>
      <w:r>
        <w:rPr>
          <w:rFonts w:hint="eastAsia"/>
        </w:rPr>
        <w:t>个，学前三年毛入园率达95%以上，普惠性幼儿园覆盖率达83%以上，公办园在园幼儿占比50%以上，减少托幼点数量。推进托幼一体化工作，鼓励有条件的幼儿园开设托</w:t>
      </w:r>
      <w:r>
        <w:rPr>
          <w:rFonts w:hint="eastAsia"/>
          <w:lang w:eastAsia="zh-CN"/>
        </w:rPr>
        <w:t>育</w:t>
      </w:r>
      <w:r>
        <w:rPr>
          <w:rFonts w:hint="eastAsia"/>
        </w:rPr>
        <w:t>班，解决2-3岁幼儿的教养和看护问题。</w:t>
      </w:r>
    </w:p>
    <w:p>
      <w:bookmarkStart w:id="78" w:name="_Toc58935974"/>
      <w:bookmarkStart w:id="79" w:name="_Toc56581717"/>
      <w:r>
        <w:rPr>
          <w:rFonts w:hint="eastAsia"/>
        </w:rPr>
        <w:t>提高幼儿园保教质量。</w:t>
      </w:r>
      <w:bookmarkEnd w:id="78"/>
      <w:bookmarkEnd w:id="79"/>
      <w:r>
        <w:rPr>
          <w:rFonts w:hint="eastAsia"/>
        </w:rPr>
        <w:t>幼儿园</w:t>
      </w:r>
      <w:r>
        <w:t>要</w:t>
      </w:r>
      <w:r>
        <w:rPr>
          <w:rFonts w:hint="eastAsia"/>
        </w:rPr>
        <w:t>注重</w:t>
      </w:r>
      <w:r>
        <w:t>保教结合，</w:t>
      </w:r>
      <w:r>
        <w:rPr>
          <w:rFonts w:hint="eastAsia"/>
        </w:rPr>
        <w:t>坚持以游戏为基本活动，珍视幼儿游戏活动的独特价值，保护幼儿的好奇心和学习兴趣，尊重个体差异。要</w:t>
      </w:r>
      <w:r>
        <w:rPr>
          <w:rFonts w:hint="eastAsia" w:ascii="仿宋_GB2312"/>
        </w:rPr>
        <w:t>遵循幼儿身心发展规律，树立科学保教理念，传授基本的文明礼仪，培育幼儿良好的行为习惯和自我保护能力。</w:t>
      </w:r>
      <w:r>
        <w:rPr>
          <w:rFonts w:hint="eastAsia"/>
        </w:rPr>
        <w:t>全面落实</w:t>
      </w:r>
      <w:r>
        <w:rPr>
          <w:rFonts w:hint="eastAsia"/>
          <w:lang w:eastAsia="zh-CN"/>
        </w:rPr>
        <w:t>《</w:t>
      </w:r>
      <w:r>
        <w:rPr>
          <w:rFonts w:hint="eastAsia"/>
        </w:rPr>
        <w:t>天津市幼儿园保教质量规范</w:t>
      </w:r>
      <w:r>
        <w:rPr>
          <w:rFonts w:hint="eastAsia"/>
          <w:lang w:eastAsia="zh-CN"/>
        </w:rPr>
        <w:t>》</w:t>
      </w:r>
      <w:r>
        <w:rPr>
          <w:rFonts w:hint="eastAsia"/>
        </w:rPr>
        <w:t>，引导幼儿园改善办园条件，完善保教活动方案，为幼儿提供有利于激发学习探索、安全、丰富、适宜的游戏材料和玩教具，鼓励支持幼儿通过亲近自然、直接感知、实际操作、亲身体验等方式学习探索。落实《东丽区幼儿园教研指导责任区制度》，发挥</w:t>
      </w:r>
      <w:r>
        <w:rPr>
          <w:rFonts w:hint="eastAsia" w:ascii="仿宋_GB2312"/>
          <w:szCs w:val="32"/>
        </w:rPr>
        <w:t>市级示范幼儿园的带头引领作用，</w:t>
      </w:r>
      <w:r>
        <w:rPr>
          <w:rFonts w:hint="eastAsia"/>
        </w:rPr>
        <w:t>加强区域教研，</w:t>
      </w:r>
      <w:r>
        <w:rPr>
          <w:rFonts w:hint="eastAsia" w:ascii="仿宋_GB2312"/>
          <w:szCs w:val="32"/>
        </w:rPr>
        <w:t>指导各类型园所开展园本教研，不断提升教师保育教育能力，</w:t>
      </w:r>
      <w:r>
        <w:rPr>
          <w:rFonts w:hint="eastAsia"/>
        </w:rPr>
        <w:t>做好幼小衔接工作，坚决克服和纠正“小学化”倾向，</w:t>
      </w:r>
      <w:r>
        <w:rPr>
          <w:rFonts w:hint="eastAsia" w:ascii="仿宋_GB2312"/>
          <w:szCs w:val="32"/>
        </w:rPr>
        <w:t>促进东丽区幼儿园办园质量的整体提升。</w:t>
      </w:r>
    </w:p>
    <w:p>
      <w:pPr>
        <w:ind w:firstLine="0" w:firstLineChars="0"/>
      </w:pPr>
      <w:r>
        <w:pict>
          <v:shape id="1037" o:spid="_x0000_s1030" o:spt="202" type="#_x0000_t202" style="height:408pt;width:415.3pt;" coordsize="21600,21600" o:gfxdata="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Y27y1AAAAAUBAAAPAAAAAAAAAAEAIAAAACIAAABkcnMvZG93bnJldi54bWxQSwECFAAU&#10;AAAACACHTuJAjfYwzi4CAACBBAAADgAAAAAAAAABACAAAAAjAQAAZHJzL2Uyb0RvYy54bWxQSwUG&#10;AAAAAAYABgBZAQAAwwUAAAAA&#10;">
            <v:path/>
            <v:fill focussize="0,0"/>
            <v:stroke joinstyle="miter"/>
            <v:imagedata o:title=""/>
            <o:lock v:ext="edit"/>
            <v:textbox>
              <w:txbxContent>
                <w:p>
                  <w:pPr>
                    <w:ind w:firstLine="0" w:firstLineChars="0"/>
                    <w:jc w:val="left"/>
                    <w:rPr>
                      <w:rFonts w:ascii="黑体" w:hAnsi="黑体" w:eastAsia="黑体"/>
                    </w:rPr>
                  </w:pPr>
                  <w:bookmarkStart w:id="185" w:name="_Toc58402300"/>
                  <w:bookmarkStart w:id="186" w:name="_Toc56581719"/>
                  <w:bookmarkStart w:id="187" w:name="_Toc58935975"/>
                  <w:bookmarkStart w:id="188" w:name="_Toc58936051"/>
                  <w:r>
                    <w:rPr>
                      <w:rFonts w:hint="eastAsia" w:ascii="黑体" w:hAnsi="黑体" w:eastAsia="黑体"/>
                    </w:rPr>
                    <w:t>专栏</w:t>
                  </w:r>
                  <w:r>
                    <w:rPr>
                      <w:rFonts w:ascii="黑体" w:hAnsi="黑体" w:eastAsia="黑体"/>
                    </w:rPr>
                    <w:t>6</w:t>
                  </w:r>
                  <w:r>
                    <w:rPr>
                      <w:rFonts w:hint="eastAsia" w:ascii="黑体" w:hAnsi="黑体" w:eastAsia="黑体"/>
                    </w:rPr>
                    <w:t xml:space="preserve">         学前教育提质培优工程</w:t>
                  </w:r>
                  <w:bookmarkEnd w:id="185"/>
                  <w:bookmarkEnd w:id="186"/>
                  <w:bookmarkEnd w:id="187"/>
                  <w:bookmarkEnd w:id="188"/>
                </w:p>
                <w:p>
                  <w:pPr>
                    <w:adjustRightInd w:val="0"/>
                    <w:snapToGrid w:val="0"/>
                    <w:spacing w:line="560" w:lineRule="exact"/>
                  </w:pPr>
                  <w:r>
                    <w:rPr>
                      <w:rFonts w:hint="eastAsia"/>
                    </w:rPr>
                    <w:t>深化公办幼儿园、民办幼儿园手拉手共建活动。按照区域相近的原则，以公办园为主导，公办幼儿园、民办幼儿园手拉手结对发展，提升民办幼儿园的园所管理、制度建设、队伍建设水平，共同提高保教质量。</w:t>
                  </w:r>
                </w:p>
                <w:p>
                  <w:pPr>
                    <w:adjustRightInd w:val="0"/>
                    <w:snapToGrid w:val="0"/>
                    <w:spacing w:line="560" w:lineRule="exact"/>
                  </w:pPr>
                  <w:r>
                    <w:rPr>
                      <w:rFonts w:hint="eastAsia"/>
                    </w:rPr>
                    <w:t>开展自主游戏能力提升行动。每年组织公办园、民办示范园开展自主游戏展示，交流开展自主游戏的指导策略，提升自主游戏质量。</w:t>
                  </w:r>
                </w:p>
                <w:p>
                  <w:pPr>
                    <w:adjustRightInd w:val="0"/>
                    <w:snapToGrid w:val="0"/>
                    <w:spacing w:line="560" w:lineRule="exact"/>
                  </w:pPr>
                  <w:r>
                    <w:rPr>
                      <w:rFonts w:hint="eastAsia"/>
                    </w:rPr>
                    <w:t>开展幼儿园教职工职业技能比赛。每年组织一次职业技能比赛，以比赛促进幼儿园教职工职业技能的提升，提高保教质量。</w:t>
                  </w:r>
                </w:p>
                <w:p>
                  <w:pPr>
                    <w:adjustRightInd w:val="0"/>
                    <w:snapToGrid w:val="0"/>
                    <w:spacing w:line="560" w:lineRule="exact"/>
                  </w:pPr>
                  <w:r>
                    <w:rPr>
                      <w:rFonts w:hint="eastAsia"/>
                    </w:rPr>
                    <w:t>开展幼小衔接质量提升行动。深化幼小衔接研究，设</w:t>
                  </w:r>
                </w:p>
                <w:p>
                  <w:pPr>
                    <w:adjustRightInd w:val="0"/>
                    <w:snapToGrid w:val="0"/>
                    <w:spacing w:line="560" w:lineRule="exact"/>
                    <w:ind w:firstLine="0" w:firstLineChars="0"/>
                  </w:pPr>
                  <w:r>
                    <w:rPr>
                      <w:rFonts w:hint="eastAsia"/>
                    </w:rPr>
                    <w:t>计幼小衔接课程，加强幼儿园、家长、小学沟通，全面提升幼小衔接水平。</w:t>
                  </w: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adjustRightInd w:val="0"/>
                    <w:snapToGrid w:val="0"/>
                    <w:spacing w:line="560" w:lineRule="exact"/>
                  </w:pPr>
                </w:p>
                <w:p>
                  <w:pPr>
                    <w:adjustRightInd w:val="0"/>
                    <w:snapToGrid w:val="0"/>
                    <w:spacing w:line="560" w:lineRule="exact"/>
                  </w:pPr>
                </w:p>
              </w:txbxContent>
            </v:textbox>
            <w10:wrap type="none"/>
            <w10:anchorlock/>
          </v:shape>
        </w:pict>
      </w:r>
    </w:p>
    <w:p>
      <w:pPr>
        <w:pStyle w:val="3"/>
        <w:ind w:firstLine="640"/>
      </w:pPr>
      <w:bookmarkStart w:id="80" w:name="_Toc58935976"/>
      <w:bookmarkStart w:id="81" w:name="_Toc56581720"/>
      <w:bookmarkStart w:id="82" w:name="_Toc59468246"/>
      <w:r>
        <w:rPr>
          <w:rFonts w:hint="eastAsia"/>
        </w:rPr>
        <w:t>（四）推动义务教育优质均衡发展</w:t>
      </w:r>
      <w:bookmarkEnd w:id="80"/>
      <w:bookmarkEnd w:id="81"/>
      <w:bookmarkEnd w:id="82"/>
    </w:p>
    <w:p>
      <w:bookmarkStart w:id="83" w:name="_Toc58935977"/>
      <w:bookmarkStart w:id="84" w:name="_Toc56581721"/>
      <w:r>
        <w:rPr>
          <w:rFonts w:hint="eastAsia"/>
        </w:rPr>
        <w:t>优化学校</w:t>
      </w:r>
      <w:r>
        <w:t>布局</w:t>
      </w:r>
      <w:r>
        <w:rPr>
          <w:rFonts w:hint="eastAsia"/>
        </w:rPr>
        <w:t>，扩大优质教育资源。加强新建小区配套学校建设，补足补齐义务教育学位缺口。重点加强东丽区北部区域中小学建设，优化东丽湖、金钟街、华新街等地区义务教育资源布局。到2025年</w:t>
      </w:r>
      <w:r>
        <w:t>，新建</w:t>
      </w:r>
      <w:r>
        <w:rPr>
          <w:rFonts w:hint="eastAsia"/>
        </w:rPr>
        <w:t>9所小学和4所</w:t>
      </w:r>
      <w:r>
        <w:t>初中</w:t>
      </w:r>
      <w:r>
        <w:rPr>
          <w:rFonts w:hint="eastAsia"/>
        </w:rPr>
        <w:t>。实施义务教育优质均衡发展行动，大力推行集团化办学，积极完善学区片协作机制，探索委托管理，利用多种方式扩大优质教育资源，办好老百姓家门口的优质学校。到2022年，确保我区通过义务教育优质均衡发展区国家级评估认定。健全随迁子女的就学政策，积极稳妥解决东丽新增市民和进城务工人员随迁子女的就学问题。</w:t>
      </w:r>
    </w:p>
    <w:p>
      <w:r>
        <w:rPr>
          <w:rFonts w:hint="eastAsia"/>
        </w:rPr>
        <w:t>全面提升办学条件。加大区域资源统筹，建立健全公园、绿地等公共场所及区域优质特色科技、文化资源与中小学共建共享、错峰使用的工作机制，扩大中小学办学空间。提升改造中小学C级校舍，确保安全达标。新建或提升改造中小学校体育场馆，补齐中小学体育运动场馆缺口。按照标准补充更新教学仪器设备。严格控制义务教育学校办学规模和班额。</w:t>
      </w:r>
    </w:p>
    <w:bookmarkEnd w:id="83"/>
    <w:bookmarkEnd w:id="84"/>
    <w:p>
      <w:bookmarkStart w:id="85" w:name="_Toc56581725"/>
      <w:bookmarkStart w:id="86" w:name="_Toc58935979"/>
      <w:r>
        <w:rPr>
          <w:rFonts w:hint="eastAsia"/>
        </w:rPr>
        <w:t>改进特殊教育育人方式。</w:t>
      </w:r>
      <w:bookmarkEnd w:id="85"/>
      <w:bookmarkEnd w:id="86"/>
      <w:r>
        <w:rPr>
          <w:rFonts w:hint="eastAsia" w:ascii="仿宋_GB2312" w:hAnsi="华文仿宋" w:cs="华文仿宋"/>
          <w:szCs w:val="32"/>
        </w:rPr>
        <w:t>巩固特殊教育示范区成果，</w:t>
      </w:r>
      <w:r>
        <w:rPr>
          <w:rFonts w:hint="eastAsia"/>
        </w:rPr>
        <w:t>深入实施全纳融合教育，尊重残疾学生的个体差异，注重缺陷补偿和潜能开发，培养残疾学生积极全面融入社会意识、自尊自信自强精神和职业技能，形成“一校一策”的校本化解决方案。完善残疾学生随班就读服务体系，加强对随班就读课程教学的管理与指导，保障适龄残疾儿童少年义务教育入学率达到99%以上。加大发展残疾儿童学前教育力度，加快发展以职业教育为主的残疾人高中阶段教育。</w:t>
      </w:r>
    </w:p>
    <w:p>
      <w:pPr>
        <w:ind w:firstLine="0" w:firstLineChars="0"/>
      </w:pPr>
      <w:r>
        <w:pict>
          <v:shape id="1039" o:spid="_x0000_s1029" o:spt="202" type="#_x0000_t202" style="height:398.1pt;width:415.3pt;" coordsize="21600,21600" o:gfxdata="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QdLJ/1gAAAAUBAAAPAAAAAAAAAAEAIAAAACIAAABkcnMvZG93bnJldi54bWxQSwEC&#10;FAAUAAAACACHTuJA2tGckC8CAACBBAAADgAAAAAAAAABACAAAAAlAQAAZHJzL2Uyb0RvYy54bWxQ&#10;SwUGAAAAAAYABgBZAQAAxgUAAAAA&#10;">
            <v:path/>
            <v:fill focussize="0,0"/>
            <v:stroke joinstyle="miter"/>
            <v:imagedata o:title=""/>
            <o:lock v:ext="edit"/>
            <v:textbox>
              <w:txbxContent>
                <w:p>
                  <w:pPr>
                    <w:ind w:leftChars="-44" w:hanging="140" w:hangingChars="44"/>
                    <w:jc w:val="left"/>
                    <w:rPr>
                      <w:rFonts w:ascii="黑体" w:hAnsi="黑体" w:eastAsia="黑体"/>
                    </w:rPr>
                  </w:pPr>
                  <w:bookmarkStart w:id="189" w:name="_Toc56581747"/>
                  <w:bookmarkStart w:id="190" w:name="_Toc58936058"/>
                  <w:bookmarkStart w:id="191" w:name="_Toc58402322"/>
                  <w:bookmarkStart w:id="192" w:name="_Toc58935997"/>
                  <w:r>
                    <w:rPr>
                      <w:rFonts w:hint="eastAsia" w:ascii="黑体" w:hAnsi="黑体" w:eastAsia="黑体"/>
                    </w:rPr>
                    <w:t>专栏</w:t>
                  </w:r>
                  <w:r>
                    <w:rPr>
                      <w:rFonts w:ascii="黑体" w:hAnsi="黑体" w:eastAsia="黑体"/>
                    </w:rPr>
                    <w:t>7</w:t>
                  </w:r>
                  <w:bookmarkEnd w:id="189"/>
                  <w:r>
                    <w:rPr>
                      <w:rFonts w:hint="eastAsia" w:ascii="黑体" w:hAnsi="黑体" w:eastAsia="黑体"/>
                    </w:rPr>
                    <w:t xml:space="preserve">            绿色教育培育工程</w:t>
                  </w:r>
                  <w:bookmarkEnd w:id="190"/>
                  <w:bookmarkEnd w:id="191"/>
                  <w:bookmarkEnd w:id="192"/>
                </w:p>
                <w:p>
                  <w:r>
                    <w:rPr>
                      <w:rFonts w:hint="eastAsia"/>
                    </w:rPr>
                    <w:t>开展绿色学校创建行动。引导师生落实绿色环保生活理念，反对奢侈浪费和不合理消费，树立正确价值观、生活观、消费观</w:t>
                  </w:r>
                  <w:r>
                    <w:rPr>
                      <w:rFonts w:hint="eastAsia" w:ascii="仿宋_GB2312"/>
                    </w:rPr>
                    <w:t>，形成可持续发展理念、知识和能力。将生态文明理念融入教育全过程，</w:t>
                  </w:r>
                  <w:r>
                    <w:rPr>
                      <w:rFonts w:hint="eastAsia"/>
                    </w:rPr>
                    <w:t>鼓励学校开发生态文明相关课程，开展生态文明教育实践活动，</w:t>
                  </w:r>
                  <w:r>
                    <w:rPr>
                      <w:rFonts w:hint="eastAsia" w:ascii="仿宋_GB2312"/>
                    </w:rPr>
                    <w:t>深化节水、节电、节粮教育</w:t>
                  </w:r>
                  <w:r>
                    <w:rPr>
                      <w:rFonts w:hint="eastAsia"/>
                    </w:rPr>
                    <w:t>和校园垃圾分类教育</w:t>
                  </w:r>
                  <w:r>
                    <w:rPr>
                      <w:rFonts w:hint="eastAsia" w:ascii="仿宋_GB2312"/>
                    </w:rPr>
                    <w:t>，新</w:t>
                  </w:r>
                  <w:r>
                    <w:t>增10</w:t>
                  </w:r>
                  <w:r>
                    <w:rPr>
                      <w:rFonts w:hint="eastAsia" w:ascii="仿宋_GB2312"/>
                    </w:rPr>
                    <w:t>所</w:t>
                  </w:r>
                  <w:r>
                    <w:rPr>
                      <w:rFonts w:hint="eastAsia"/>
                    </w:rPr>
                    <w:t>天津市绿色学校。</w:t>
                  </w:r>
                </w:p>
                <w:p>
                  <w:r>
                    <w:rPr>
                      <w:rFonts w:hint="eastAsia"/>
                    </w:rPr>
                    <w:t>开展绿色教育行动研究。</w:t>
                  </w:r>
                  <w:r>
                    <w:t>建立绿色课堂评价指标体系，落实减负增效</w:t>
                  </w:r>
                  <w:r>
                    <w:rPr>
                      <w:rFonts w:hint="eastAsia"/>
                    </w:rPr>
                    <w:t>的要求</w:t>
                  </w:r>
                  <w:r>
                    <w:t>。</w:t>
                  </w:r>
                  <w:r>
                    <w:rPr>
                      <w:rFonts w:ascii="仿宋_GB2312"/>
                    </w:rPr>
                    <w:t>开展“</w:t>
                  </w:r>
                  <w:r>
                    <w:rPr>
                      <w:rFonts w:hint="eastAsia" w:ascii="仿宋_GB2312"/>
                    </w:rPr>
                    <w:t>绿色</w:t>
                  </w:r>
                  <w:r>
                    <w:rPr>
                      <w:rFonts w:ascii="仿宋_GB2312"/>
                    </w:rPr>
                    <w:t>教育文化建设”“</w:t>
                  </w:r>
                  <w:r>
                    <w:rPr>
                      <w:rFonts w:hint="eastAsia" w:ascii="仿宋_GB2312"/>
                    </w:rPr>
                    <w:t>绿色</w:t>
                  </w:r>
                  <w:r>
                    <w:rPr>
                      <w:rFonts w:ascii="仿宋_GB2312"/>
                    </w:rPr>
                    <w:t>教育理论与制度构建”</w:t>
                  </w:r>
                  <w:r>
                    <w:rPr>
                      <w:rFonts w:hint="eastAsia" w:ascii="仿宋_GB2312"/>
                    </w:rPr>
                    <w:t>等</w:t>
                  </w:r>
                  <w:r>
                    <w:rPr>
                      <w:rFonts w:ascii="仿宋_GB2312"/>
                    </w:rPr>
                    <w:t>行动研究，</w:t>
                  </w:r>
                  <w:r>
                    <w:rPr>
                      <w:rFonts w:hint="eastAsia" w:ascii="仿宋_GB2312"/>
                    </w:rPr>
                    <w:t>将</w:t>
                  </w:r>
                  <w:r>
                    <w:rPr>
                      <w:rFonts w:ascii="仿宋_GB2312"/>
                    </w:rPr>
                    <w:t>“</w:t>
                  </w:r>
                  <w:r>
                    <w:rPr>
                      <w:rFonts w:hint="eastAsia" w:ascii="仿宋_GB2312"/>
                    </w:rPr>
                    <w:t>尊重</w:t>
                  </w:r>
                  <w:r>
                    <w:rPr>
                      <w:rFonts w:ascii="仿宋_GB2312"/>
                    </w:rPr>
                    <w:t>生命、尊重规律、尊重差异”</w:t>
                  </w:r>
                  <w:r>
                    <w:rPr>
                      <w:rFonts w:hint="eastAsia" w:ascii="仿宋_GB2312"/>
                    </w:rPr>
                    <w:t>的</w:t>
                  </w:r>
                  <w:r>
                    <w:rPr>
                      <w:rFonts w:ascii="仿宋_GB2312"/>
                    </w:rPr>
                    <w:t>绿色教育</w:t>
                  </w:r>
                  <w:r>
                    <w:rPr>
                      <w:rFonts w:hint="eastAsia" w:ascii="仿宋_GB2312"/>
                    </w:rPr>
                    <w:t>理念</w:t>
                  </w:r>
                  <w:r>
                    <w:rPr>
                      <w:rFonts w:ascii="仿宋_GB2312"/>
                    </w:rPr>
                    <w:t>发展成为全区</w:t>
                  </w:r>
                  <w:r>
                    <w:rPr>
                      <w:rFonts w:hint="eastAsia" w:ascii="仿宋_GB2312"/>
                    </w:rPr>
                    <w:t>课堂教学</w:t>
                  </w:r>
                  <w:r>
                    <w:rPr>
                      <w:rFonts w:ascii="仿宋_GB2312"/>
                    </w:rPr>
                    <w:t>共同价值追求，引领教育内涵发展，促进教育品质提升。</w:t>
                  </w:r>
                </w:p>
              </w:txbxContent>
            </v:textbox>
            <w10:wrap type="none"/>
            <w10:anchorlock/>
          </v:shape>
        </w:pict>
      </w:r>
    </w:p>
    <w:p>
      <w:pPr>
        <w:pStyle w:val="3"/>
        <w:ind w:firstLine="640"/>
      </w:pPr>
      <w:bookmarkStart w:id="87" w:name="_Toc56581726"/>
      <w:bookmarkStart w:id="88" w:name="_Toc59468247"/>
      <w:bookmarkStart w:id="89" w:name="_Toc58935980"/>
      <w:r>
        <w:rPr>
          <w:rFonts w:hint="eastAsia"/>
        </w:rPr>
        <w:t>（五）推进普通高中优质特色发展</w:t>
      </w:r>
      <w:bookmarkEnd w:id="87"/>
      <w:bookmarkEnd w:id="88"/>
      <w:bookmarkEnd w:id="89"/>
      <w:r>
        <w:rPr>
          <w:rFonts w:hint="eastAsia"/>
        </w:rPr>
        <w:t xml:space="preserve"> </w:t>
      </w:r>
    </w:p>
    <w:p>
      <w:pPr>
        <w:rPr>
          <w:b/>
        </w:rPr>
      </w:pPr>
      <w:bookmarkStart w:id="90" w:name="_Toc56581727"/>
      <w:bookmarkStart w:id="91" w:name="_Toc58935981"/>
      <w:r>
        <w:t>推进优质品牌高中建设</w:t>
      </w:r>
      <w:r>
        <w:rPr>
          <w:rFonts w:hint="eastAsia"/>
        </w:rPr>
        <w:t>。以质量提升和特色发展为重点，</w:t>
      </w:r>
      <w:r>
        <w:rPr>
          <w:rFonts w:hint="eastAsia" w:ascii="仿宋_GB2312" w:hAnsi="华文仿宋" w:cs="华文仿宋"/>
          <w:szCs w:val="32"/>
        </w:rPr>
        <w:t>深化一百中学、军粮城中学办学特色建设，</w:t>
      </w:r>
      <w:r>
        <w:rPr>
          <w:rFonts w:hint="eastAsia"/>
        </w:rPr>
        <w:t>到</w:t>
      </w:r>
      <w:r>
        <w:t>2025</w:t>
      </w:r>
      <w:r>
        <w:rPr>
          <w:rFonts w:hint="eastAsia"/>
        </w:rPr>
        <w:t>年</w:t>
      </w:r>
      <w:r>
        <w:t>，</w:t>
      </w:r>
      <w:r>
        <w:rPr>
          <w:rFonts w:hint="eastAsia"/>
        </w:rPr>
        <w:t>至少培育1所在全市有较大影响力的品牌高中，</w:t>
      </w:r>
      <w:r>
        <w:rPr>
          <w:rFonts w:ascii="仿宋_GB2312" w:hAnsi="华文仿宋" w:cs="华文仿宋"/>
          <w:szCs w:val="32"/>
        </w:rPr>
        <w:t>新建</w:t>
      </w:r>
      <w:r>
        <w:rPr>
          <w:rFonts w:hint="eastAsia" w:ascii="仿宋_GB2312" w:hAnsi="华文仿宋" w:cs="华文仿宋"/>
          <w:szCs w:val="32"/>
        </w:rPr>
        <w:t>2所</w:t>
      </w:r>
      <w:r>
        <w:rPr>
          <w:rFonts w:ascii="仿宋_GB2312" w:hAnsi="华文仿宋" w:cs="华文仿宋"/>
          <w:szCs w:val="32"/>
        </w:rPr>
        <w:t>普通高中</w:t>
      </w:r>
      <w:r>
        <w:rPr>
          <w:rFonts w:hint="eastAsia" w:ascii="仿宋_GB2312" w:hAnsi="华文仿宋" w:cs="华文仿宋"/>
          <w:szCs w:val="32"/>
        </w:rPr>
        <w:t>。</w:t>
      </w:r>
      <w:r>
        <w:rPr>
          <w:rFonts w:ascii="仿宋_GB2312" w:hAnsi="华文仿宋" w:cs="华文仿宋"/>
          <w:szCs w:val="32"/>
        </w:rPr>
        <w:t>坚持</w:t>
      </w:r>
      <w:r>
        <w:rPr>
          <w:rFonts w:hint="eastAsia" w:ascii="仿宋_GB2312" w:hAnsi="华文仿宋" w:cs="华文仿宋"/>
          <w:szCs w:val="32"/>
        </w:rPr>
        <w:t>多样化发展，</w:t>
      </w:r>
      <w:r>
        <w:rPr>
          <w:rFonts w:ascii="仿宋_GB2312" w:hAnsi="华文仿宋" w:cs="华文仿宋"/>
          <w:szCs w:val="32"/>
        </w:rPr>
        <w:t>分类引导学校立足自身传统、历史积淀、学校文化、办学优势和条件资源</w:t>
      </w:r>
      <w:r>
        <w:rPr>
          <w:rFonts w:hint="eastAsia" w:ascii="仿宋_GB2312" w:hAnsi="华文仿宋" w:cs="华文仿宋"/>
          <w:szCs w:val="32"/>
        </w:rPr>
        <w:t>，</w:t>
      </w:r>
      <w:r>
        <w:rPr>
          <w:rFonts w:ascii="仿宋_GB2312" w:hAnsi="华文仿宋" w:cs="华文仿宋"/>
          <w:szCs w:val="32"/>
        </w:rPr>
        <w:t>找准发展定位</w:t>
      </w:r>
      <w:r>
        <w:rPr>
          <w:rFonts w:hint="eastAsia" w:ascii="仿宋_GB2312" w:hAnsi="华文仿宋" w:cs="华文仿宋"/>
          <w:szCs w:val="32"/>
        </w:rPr>
        <w:t>，</w:t>
      </w:r>
      <w:r>
        <w:rPr>
          <w:rFonts w:hint="eastAsia"/>
        </w:rPr>
        <w:t>通过专家引领、品牌定位、政策支持等方式，推动学校在课程建设、师资培养、教学管理、学校文化、办学特色等方面的全方位提升，形成“</w:t>
      </w:r>
      <w:r>
        <w:t>优势互补、</w:t>
      </w:r>
      <w:r>
        <w:rPr>
          <w:rFonts w:hint="eastAsia"/>
        </w:rPr>
        <w:t>竞争合作</w:t>
      </w:r>
      <w:r>
        <w:t>、特色突出</w:t>
      </w:r>
      <w:r>
        <w:rPr>
          <w:rFonts w:hint="eastAsia"/>
        </w:rPr>
        <w:t>、</w:t>
      </w:r>
      <w:r>
        <w:t>共同发展</w:t>
      </w:r>
      <w:r>
        <w:rPr>
          <w:rFonts w:hint="eastAsia"/>
        </w:rPr>
        <w:t>”的普通</w:t>
      </w:r>
      <w:r>
        <w:t>高中教育新格局。</w:t>
      </w:r>
    </w:p>
    <w:p>
      <w:r>
        <w:rPr>
          <w:rFonts w:hint="eastAsia"/>
        </w:rPr>
        <w:t>加强特色课程建设。</w:t>
      </w:r>
      <w:bookmarkEnd w:id="90"/>
      <w:bookmarkEnd w:id="91"/>
      <w:r>
        <w:rPr>
          <w:rFonts w:hint="eastAsia"/>
        </w:rPr>
        <w:t>推动特色课程基地建设，建立普通高中精品课程群及精品课程资源库，争创一批普通高中学科特色课程基地。鼓励普通高中和中职学校教学资源相互开放并提供学科名师、技能大师及课程，在有效满足学生个性化、差异化发展需求基础上，以质量提升和特色发展为重点，形成面向全体学生的特色课程群，促进普通高中多样化发展。</w:t>
      </w:r>
    </w:p>
    <w:p>
      <w:bookmarkStart w:id="92" w:name="_Toc58935982"/>
      <w:bookmarkStart w:id="93" w:name="_Toc56581728"/>
      <w:r>
        <w:rPr>
          <w:rFonts w:hint="eastAsia"/>
        </w:rPr>
        <w:t>创新教学管理。</w:t>
      </w:r>
      <w:bookmarkEnd w:id="92"/>
      <w:bookmarkEnd w:id="93"/>
      <w:r>
        <w:rPr>
          <w:rFonts w:hint="eastAsia"/>
        </w:rPr>
        <w:t>有序实施选课走班，加大对班级编排、学生管理、教师调配、教学设施配置等方面的统筹力度和智能化管理水平，提高教学资源使用效率。鼓励学校结合实际，积极探索分层分类教学、网络教学、互助学习等新型教学形式，为学生在共同基础上的个性化发展创造条件。加强考试数据分析，认真做好反馈，引导改进教学，提高全区普通高中教育教学质量。</w:t>
      </w:r>
      <w:r>
        <w:rPr>
          <w:rFonts w:hint="eastAsia" w:ascii="仿宋_GB2312" w:hAnsi="等线"/>
          <w:szCs w:val="32"/>
        </w:rPr>
        <w:t>支持和鼓励学校进行教育创新，实施特需课程和弹性化教学，通过独立设置课程计划，优化课堂教学手段，激发才能突出学生学习潜力。</w:t>
      </w:r>
    </w:p>
    <w:p>
      <w:r>
        <w:rPr>
          <w:rFonts w:hint="eastAsia"/>
        </w:rPr>
        <w:t>完善学生发展指导制度。加大对教师指导学生生涯规划能力的培训，加强对学生理想、心理、学习、生活、生涯规划等方面指导，提高学生在选修课程、选考科目、报考专业和未来发展方向等方面的自主选择能力。将学生发展指导和学科教学有机结合，促进学生身心健康、全面而有个性发展。注重利用高校、科研机构、企业等各种社会资源，对学生进行学业规划和职业规划进行有效指导。健全综合素质评价制度，完善综合素质评价实施办法，发挥其在促进学生全面发展中的重要导向作用。</w:t>
      </w:r>
    </w:p>
    <w:p>
      <w:pPr>
        <w:pStyle w:val="3"/>
        <w:ind w:firstLine="640"/>
      </w:pPr>
      <w:bookmarkStart w:id="94" w:name="_Toc56581731"/>
      <w:bookmarkStart w:id="95" w:name="_Toc58935984"/>
      <w:bookmarkStart w:id="96" w:name="_Toc59468248"/>
      <w:r>
        <w:rPr>
          <w:rFonts w:hint="eastAsia"/>
        </w:rPr>
        <w:t>（六）</w:t>
      </w:r>
      <w:bookmarkEnd w:id="94"/>
      <w:bookmarkEnd w:id="95"/>
      <w:r>
        <w:rPr>
          <w:rFonts w:hint="eastAsia"/>
        </w:rPr>
        <w:t>建设全民</w:t>
      </w:r>
      <w:r>
        <w:t>学习、终身学习的</w:t>
      </w:r>
      <w:r>
        <w:rPr>
          <w:rFonts w:hint="eastAsia"/>
        </w:rPr>
        <w:t>学习型</w:t>
      </w:r>
      <w:bookmarkEnd w:id="96"/>
      <w:r>
        <w:rPr>
          <w:rFonts w:hint="eastAsia"/>
        </w:rPr>
        <w:t>城区</w:t>
      </w:r>
    </w:p>
    <w:p>
      <w:bookmarkStart w:id="97" w:name="_Toc58402310"/>
      <w:bookmarkStart w:id="98" w:name="_Toc56581732"/>
      <w:bookmarkStart w:id="99" w:name="_Toc58935985"/>
      <w:r>
        <w:rPr>
          <w:rFonts w:hint="eastAsia"/>
        </w:rPr>
        <w:t>进一步提升职业学校领先优势。围绕战略性新兴产业、先进制造业、现代服务业等高端产业，推动东丽区职业教育中心学校对接重点产业、龙头企业，服务区域人才需求，继续提升学校领先优势，分类打造产教深度融合、社会认可度高的专业，争创一批国内领先的高水平专业群。支持学校改扩建一批实训基地，促进学生发展与就业有机融合。</w:t>
      </w:r>
    </w:p>
    <w:bookmarkEnd w:id="97"/>
    <w:p>
      <w:bookmarkStart w:id="100" w:name="_Toc58402311"/>
      <w:r>
        <w:rPr>
          <w:rFonts w:hint="eastAsia"/>
        </w:rPr>
        <w:t>完善德技并修、工学结合的育人机制。</w:t>
      </w:r>
      <w:bookmarkEnd w:id="100"/>
      <w:r>
        <w:rPr>
          <w:rFonts w:hint="eastAsia"/>
        </w:rPr>
        <w:t>加强职教中心学校思想政治工作，将工匠精神和职业素质培育全面纳入人才培养方案，贯穿学生实训实习全过程。探索具有天津特色的高层次学徒制，结合企业生产和学徒工作生活实际，实施弹性学习时间和学分制管理，育训结合、工学交替、在岗培养，提升学生的职业技能和就业创业能力。实行“1+X”证书制度，开发一批虚拟仿真实训资源，提升技术技能人才培养质量。巩固职业技能大赛成果，加强职业技能大赛训练与日常教学的深度结合，以赛促学，提高竞赛水平。加强实践性教学比重，积极推行认知实习、跟岗实习、顶岗实习等多种实习方式。</w:t>
      </w:r>
    </w:p>
    <w:p>
      <w:bookmarkStart w:id="101" w:name="_Toc58402312"/>
      <w:r>
        <w:rPr>
          <w:rFonts w:hint="eastAsia"/>
        </w:rPr>
        <w:t>深化产教融合</w:t>
      </w:r>
      <w:r>
        <w:rPr>
          <w:rFonts w:hint="eastAsia"/>
          <w:lang w:eastAsia="zh-CN"/>
        </w:rPr>
        <w:t>、</w:t>
      </w:r>
      <w:r>
        <w:rPr>
          <w:rFonts w:hint="eastAsia"/>
        </w:rPr>
        <w:t>校企合作。</w:t>
      </w:r>
      <w:bookmarkEnd w:id="101"/>
      <w:r>
        <w:rPr>
          <w:rFonts w:hint="eastAsia"/>
        </w:rPr>
        <w:t>支持企业深度参与职业教育人才培养全过程，促进企业需求融入人才培养各环节。支持企业参与学校专业规划、教材开发、教学设计、课程设置、制定人才培养计划。支持学校与企业联合试点建设一批工程创新中心、应用技术转移中心，主动对接产业发展、技术进步和流程再造，打造“通用技能+专业技能”的公共实训基地集群，增强职业技术教育适应性。以东丽区新一代汽车技术、高端装备制造和生物医药等三大机会引领的爆发点产业为重点，支持建设一批骨干专业，推进开设服务区域经济发展的航空服务专业、工业机器人、无人机专业、老年服务与管理专业和消防工程技术专业。鼓励学校面向企业、街道、社区开展职业培训，探索各类产教融合合作模式。</w:t>
      </w:r>
    </w:p>
    <w:bookmarkEnd w:id="98"/>
    <w:bookmarkEnd w:id="99"/>
    <w:p>
      <w:bookmarkStart w:id="102" w:name="_Toc58935989"/>
      <w:bookmarkStart w:id="103" w:name="_Toc56581736"/>
      <w:r>
        <w:rPr>
          <w:rFonts w:hint="eastAsia"/>
        </w:rPr>
        <w:t>完善服务全民的终身学习体系。</w:t>
      </w:r>
      <w:bookmarkEnd w:id="102"/>
      <w:bookmarkEnd w:id="103"/>
      <w:r>
        <w:rPr>
          <w:rFonts w:hint="eastAsia"/>
        </w:rPr>
        <w:t>发挥职业教育中心学校专业</w:t>
      </w:r>
      <w:r>
        <w:t>优势，</w:t>
      </w:r>
      <w:r>
        <w:rPr>
          <w:rFonts w:hint="eastAsia"/>
        </w:rPr>
        <w:t>为退役军人和武警官兵、企业在岗转岗人员、新生劳动力、城乡待业人员、进城务工人员、农村实用人才、新型职业农民等提供多样化教育与培训。依托电大东丽分校转型，建立东丽区社区教育指导中心，高水平建设东丽区老年大学，推进社老融合。逐步完善区、街、社区三级市民学习中心建设，发展网络教育，为广大市民提供时时、处处、人人能学习的条件，建设学习型城区。</w:t>
      </w:r>
    </w:p>
    <w:p>
      <w:pPr>
        <w:pStyle w:val="3"/>
        <w:ind w:firstLine="640"/>
      </w:pPr>
      <w:bookmarkStart w:id="104" w:name="_Toc59468249"/>
      <w:bookmarkStart w:id="105" w:name="_Toc56581738"/>
      <w:bookmarkStart w:id="106" w:name="_Toc58935991"/>
      <w:r>
        <w:rPr>
          <w:rFonts w:hint="eastAsia"/>
        </w:rPr>
        <w:t>（七）提升交流合作水平和质量</w:t>
      </w:r>
      <w:bookmarkEnd w:id="104"/>
      <w:bookmarkEnd w:id="105"/>
      <w:bookmarkEnd w:id="106"/>
      <w:r>
        <w:rPr>
          <w:rFonts w:hint="eastAsia"/>
        </w:rPr>
        <w:t xml:space="preserve"> </w:t>
      </w:r>
    </w:p>
    <w:p>
      <w:bookmarkStart w:id="107" w:name="_Toc56581739"/>
      <w:bookmarkStart w:id="108" w:name="_Toc58935992"/>
      <w:r>
        <w:rPr>
          <w:rFonts w:hint="eastAsia"/>
        </w:rPr>
        <w:t>深化国内教育交流合作。</w:t>
      </w:r>
      <w:bookmarkEnd w:id="107"/>
      <w:bookmarkEnd w:id="108"/>
      <w:r>
        <w:rPr>
          <w:rFonts w:hint="eastAsia"/>
        </w:rPr>
        <w:t>聚焦京津冀协同发展战略，大力加强与北京、河北交流合作力度，鼓励各级各类学校建立多种形式的校际交流合作关系。加强与上海、江苏、浙江等教育发达地区教育交流。在选派优秀校长、重点学科教师和骨干教师跨省交流培训等方面提升</w:t>
      </w:r>
      <w:r>
        <w:t>国内教育交流合作</w:t>
      </w:r>
      <w:r>
        <w:rPr>
          <w:rFonts w:hint="eastAsia"/>
        </w:rPr>
        <w:t>质量。探索</w:t>
      </w:r>
      <w:r>
        <w:t>与中国民航大学</w:t>
      </w:r>
      <w:r>
        <w:rPr>
          <w:rFonts w:hint="eastAsia"/>
        </w:rPr>
        <w:t>开展深度</w:t>
      </w:r>
      <w:r>
        <w:t>合作，</w:t>
      </w:r>
      <w:r>
        <w:rPr>
          <w:rFonts w:hint="eastAsia"/>
        </w:rPr>
        <w:t>建立</w:t>
      </w:r>
      <w:r>
        <w:t>附属学校。</w:t>
      </w:r>
      <w:r>
        <w:rPr>
          <w:rFonts w:hint="eastAsia"/>
        </w:rPr>
        <w:t>加强东西部扶贫协作和教育支援合作，继续实施教育对口帮扶。进一步加强与市内其他区的教育交流与合作，学习借鉴教育先进地区的优秀教学理念、成果和经验。</w:t>
      </w:r>
    </w:p>
    <w:p>
      <w:bookmarkStart w:id="109" w:name="_Toc58935993"/>
      <w:bookmarkStart w:id="110" w:name="_Toc56581740"/>
      <w:r>
        <w:rPr>
          <w:rFonts w:hint="eastAsia"/>
        </w:rPr>
        <w:t>提升国际交流合作水平。</w:t>
      </w:r>
      <w:bookmarkEnd w:id="109"/>
      <w:bookmarkEnd w:id="110"/>
      <w:r>
        <w:rPr>
          <w:rFonts w:hint="eastAsia"/>
        </w:rPr>
        <w:t>推动建立境内外校际间友好合作关系，探索建立1-2个中外合作项目，扩大学校多元文化交流。鼓励学校开展国际理解教育，在校园活动、实践活动中突出国际化主题和元素，培养学生的跨文化沟通能力。加大印尼“鲁班工坊”实训基地建设和深度合作，为推动天津职教模式走向世界发挥引领支撑作用。鼓励东丽职教中心学校配合东丽及天津企业“走出去”，校企携手参与国际产能合作，力争在“一带一路”国际技能大赛等品牌赛事方面创出佳绩、赛出新水平。</w:t>
      </w:r>
    </w:p>
    <w:p>
      <w:pPr>
        <w:pStyle w:val="3"/>
        <w:ind w:firstLine="640"/>
      </w:pPr>
      <w:bookmarkStart w:id="111" w:name="_Toc58935998"/>
      <w:bookmarkStart w:id="112" w:name="_Toc59468250"/>
      <w:bookmarkStart w:id="113" w:name="_Toc56581751"/>
      <w:r>
        <w:rPr>
          <w:rFonts w:hint="eastAsia"/>
        </w:rPr>
        <w:t>（八）加强高素质</w:t>
      </w:r>
      <w:r>
        <w:t>专业化</w:t>
      </w:r>
      <w:r>
        <w:rPr>
          <w:rFonts w:hint="eastAsia"/>
        </w:rPr>
        <w:t>教师队伍建设</w:t>
      </w:r>
      <w:bookmarkEnd w:id="111"/>
      <w:bookmarkEnd w:id="112"/>
      <w:bookmarkEnd w:id="113"/>
    </w:p>
    <w:p>
      <w:bookmarkStart w:id="114" w:name="_Toc56581752"/>
      <w:bookmarkStart w:id="115" w:name="_Toc58935999"/>
      <w:r>
        <w:rPr>
          <w:rFonts w:hint="eastAsia"/>
        </w:rPr>
        <w:t>进一步提升教师的思想政治素质和师德水平。</w:t>
      </w:r>
      <w:bookmarkEnd w:id="114"/>
      <w:bookmarkEnd w:id="115"/>
      <w:r>
        <w:rPr>
          <w:rFonts w:hint="eastAsia"/>
        </w:rPr>
        <w:t>全面提高教师思想政治素质，教育教师遵守</w:t>
      </w:r>
      <w:r>
        <w:t>职业道德规范，爱岗敬业、为人师表，</w:t>
      </w:r>
      <w:r>
        <w:rPr>
          <w:rFonts w:hint="eastAsia"/>
        </w:rPr>
        <w:t>做“四有”好老师。加强教师职业理想信念教育和</w:t>
      </w:r>
      <w:r>
        <w:t>中华优秀传统文化</w:t>
      </w:r>
      <w:r>
        <w:rPr>
          <w:rFonts w:hint="eastAsia"/>
        </w:rPr>
        <w:t>、</w:t>
      </w:r>
      <w:r>
        <w:t>革命文化、社会主义先进文化教育，</w:t>
      </w:r>
      <w:r>
        <w:rPr>
          <w:rFonts w:hint="eastAsia"/>
        </w:rPr>
        <w:t>树立正确的教育观、教师观、学生观、质量观。坚持把师德建设放在教师队伍建设首位，健全一体化师德建设体系，推动师德建设常态化长效化。建立健全师德考核评价和监督体系，把师德表现作为教师资格定期注册、业绩考核、职称评聘、评优奖励首要要求。落实师德考核负面清单制度，完善教师个人信用记录和师德档案，健全诚信承诺和失信惩戒机制。</w:t>
      </w:r>
    </w:p>
    <w:p>
      <w:bookmarkStart w:id="116" w:name="_Toc58936000"/>
      <w:bookmarkStart w:id="117" w:name="_Toc56581753"/>
      <w:r>
        <w:rPr>
          <w:rFonts w:hint="eastAsia"/>
        </w:rPr>
        <w:t>全面提升教师队伍专业素质。</w:t>
      </w:r>
      <w:bookmarkEnd w:id="116"/>
      <w:bookmarkEnd w:id="117"/>
      <w:r>
        <w:rPr>
          <w:rFonts w:hint="eastAsia"/>
        </w:rPr>
        <w:t>完善中小学教师全员培训制度，</w:t>
      </w:r>
      <w:r>
        <w:t>实现</w:t>
      </w:r>
      <w:r>
        <w:rPr>
          <w:rFonts w:hint="eastAsia"/>
        </w:rPr>
        <w:t>每位</w:t>
      </w:r>
      <w:r>
        <w:t>教师每年不少于</w:t>
      </w:r>
      <w:r>
        <w:rPr>
          <w:rFonts w:hint="eastAsia"/>
        </w:rPr>
        <w:t>96学时</w:t>
      </w:r>
      <w:r>
        <w:t>培训</w:t>
      </w:r>
      <w:r>
        <w:rPr>
          <w:rFonts w:hint="eastAsia"/>
        </w:rPr>
        <w:t>。面向</w:t>
      </w:r>
      <w:r>
        <w:t>校长、骨干教师、新入职教师等群体精准实施</w:t>
      </w:r>
      <w:r>
        <w:rPr>
          <w:rFonts w:hint="eastAsia"/>
        </w:rPr>
        <w:t>分层分类分岗培训。</w:t>
      </w:r>
      <w:r>
        <w:rPr>
          <w:rFonts w:hint="eastAsia" w:ascii="仿宋_GB2312" w:hAnsi="华文仿宋" w:cs="华文仿宋"/>
          <w:szCs w:val="32"/>
        </w:rPr>
        <w:t>支持区教师发展中心依托京津冀和上海、江苏等教育先进地区培训资源，系统开展学校管理干部、骨干教师的培训。</w:t>
      </w:r>
      <w:r>
        <w:rPr>
          <w:rFonts w:hint="eastAsia"/>
        </w:rPr>
        <w:t>转变</w:t>
      </w:r>
      <w:r>
        <w:t>培训方式，</w:t>
      </w:r>
      <w:r>
        <w:rPr>
          <w:rFonts w:hint="eastAsia"/>
        </w:rPr>
        <w:t>完善</w:t>
      </w:r>
      <w:r>
        <w:t>线上线下相结合的混合式研修。改进</w:t>
      </w:r>
      <w:r>
        <w:rPr>
          <w:rFonts w:hint="eastAsia"/>
        </w:rPr>
        <w:t>培训</w:t>
      </w:r>
      <w:r>
        <w:t>内容，紧密结合教育教学实际，</w:t>
      </w:r>
      <w:r>
        <w:rPr>
          <w:rFonts w:hint="eastAsia"/>
        </w:rPr>
        <w:t>突出新课程、新教材、新方法、新技术，不断提高教师政治思想教育、课堂教学、作业与考试命题设计、实验操作、心理健康教育和家庭教育指导等能力。增强教师适应未来改革发展、人工智能、线上教学等新技术发展的能力，</w:t>
      </w:r>
      <w:r>
        <w:rPr>
          <w:rFonts w:hint="eastAsia" w:ascii="仿宋_GB2312" w:hAnsi="仿宋_GB2312" w:cs="仿宋_GB2312"/>
          <w:szCs w:val="32"/>
          <w:lang w:val="zh-CN"/>
        </w:rPr>
        <w:t>创新教学场景，</w:t>
      </w:r>
      <w:r>
        <w:rPr>
          <w:rFonts w:hint="eastAsia" w:ascii="仿宋_GB2312" w:hAnsi="仿宋_GB2312" w:cs="仿宋_GB2312"/>
          <w:szCs w:val="32"/>
        </w:rPr>
        <w:t>运用虚拟现实技术推动实现沉浸式学习、人机混合式学习，</w:t>
      </w:r>
      <w:r>
        <w:rPr>
          <w:rFonts w:hint="eastAsia"/>
        </w:rPr>
        <w:t>促进信息技术与教育教学的深度融合。</w:t>
      </w:r>
      <w:r>
        <w:rPr>
          <w:rFonts w:hint="eastAsia" w:ascii="仿宋_GB2312" w:hAnsi="华文仿宋" w:cs="华文仿宋"/>
          <w:szCs w:val="32"/>
        </w:rPr>
        <w:t>完善教研工作体系，落实校本教研制度，注重依托高等教育资源开展中小幼教研。</w:t>
      </w:r>
      <w:r>
        <w:rPr>
          <w:rFonts w:hint="eastAsia"/>
        </w:rPr>
        <w:t>加强教师发展中心建设，严格教研员的选拔条件，落实教研员联系学校蹲点教研制度</w:t>
      </w:r>
      <w:r>
        <w:t>，</w:t>
      </w:r>
      <w:r>
        <w:rPr>
          <w:rFonts w:hint="eastAsia"/>
        </w:rPr>
        <w:t>建立教研员的考核和转岗、退出机制，</w:t>
      </w:r>
      <w:r>
        <w:t>实现教</w:t>
      </w:r>
      <w:r>
        <w:rPr>
          <w:rFonts w:hint="eastAsia"/>
        </w:rPr>
        <w:t>科</w:t>
      </w:r>
      <w:r>
        <w:t>研、</w:t>
      </w:r>
      <w:r>
        <w:rPr>
          <w:rFonts w:hint="eastAsia"/>
        </w:rPr>
        <w:t>信息化、培训、考试评价等</w:t>
      </w:r>
      <w:r>
        <w:t>协调统筹</w:t>
      </w:r>
      <w:r>
        <w:rPr>
          <w:rFonts w:hint="eastAsia"/>
        </w:rPr>
        <w:t>、高效衔接,为提升全区教师专业化水平，服务教育决策，提高教育质量，提供强有力的支持。</w:t>
      </w:r>
    </w:p>
    <w:p>
      <w:bookmarkStart w:id="118" w:name="_Toc56581756"/>
      <w:bookmarkStart w:id="119" w:name="_Toc58936001"/>
      <w:r>
        <w:rPr>
          <w:rFonts w:hint="eastAsia"/>
        </w:rPr>
        <w:t>加强学校领导班子和干部人才队伍建设。</w:t>
      </w:r>
      <w:bookmarkEnd w:id="118"/>
      <w:bookmarkEnd w:id="119"/>
      <w:r>
        <w:rPr>
          <w:rFonts w:hint="eastAsia"/>
        </w:rPr>
        <w:t>坚持德才兼备、以德为先用人标准，配齐配强学校领导班子。完善学校党政管理干部选拔任用机制，原则上担任学校中层以上干部应有不少于5年的思政课教师或班主任等思政工作经历。建立目标导向机制，出台《东丽区学校幼儿园干部队伍建设实施方案（2020-2025）》，建立健全干部培养培训制度，通过多种形式为干部成长搭建平台，探索校长职级制与任期制，激发校长队伍活力和创造力，培养一批市内外乃至全国有影响力的教育家型校长。完善教师人才梯队培养培训制度，把师德表现、育人能力、育人成效作为衡量教育人才的关键因素，加强骨干教师队伍建设。</w:t>
      </w:r>
    </w:p>
    <w:p>
      <w:pPr>
        <w:ind w:firstLine="0" w:firstLineChars="0"/>
      </w:pPr>
      <w:r>
        <w:pict>
          <v:shape id="1041" o:spid="_x0000_s1028" o:spt="202" type="#_x0000_t202" style="height:444.7pt;width:415.3pt;" coordsize="21600,21600" o:gfxdata="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7ATvZ1QAAAAUBAAAPAAAAAAAAAAEAIAAAACIAAABkcnMvZG93bnJldi54bWxQSwECFAAU&#10;AAAACACHTuJAK13K3S0CAACBBAAADgAAAAAAAAABACAAAAAkAQAAZHJzL2Uyb0RvYy54bWxQSwUG&#10;AAAAAAYABgBZAQAAwwUAAAAA&#10;">
            <v:path/>
            <v:fill focussize="0,0"/>
            <v:stroke joinstyle="miter"/>
            <v:imagedata o:title=""/>
            <o:lock v:ext="edit"/>
            <v:textbox style="mso-fit-shape-to-text:t;">
              <w:txbxContent>
                <w:p>
                  <w:pPr>
                    <w:ind w:firstLine="0" w:firstLineChars="0"/>
                    <w:jc w:val="left"/>
                    <w:rPr>
                      <w:rFonts w:ascii="黑体" w:hAnsi="黑体" w:eastAsia="黑体"/>
                    </w:rPr>
                  </w:pPr>
                  <w:bookmarkStart w:id="193" w:name="_Toc58936002"/>
                  <w:bookmarkStart w:id="194" w:name="_Toc56581755"/>
                  <w:bookmarkStart w:id="195" w:name="_Toc58936060"/>
                  <w:bookmarkStart w:id="196" w:name="_Toc58402327"/>
                  <w:r>
                    <w:rPr>
                      <w:rFonts w:hint="eastAsia" w:ascii="黑体" w:hAnsi="黑体" w:eastAsia="黑体"/>
                    </w:rPr>
                    <w:t>专栏</w:t>
                  </w:r>
                  <w:r>
                    <w:rPr>
                      <w:rFonts w:ascii="黑体" w:hAnsi="黑体" w:eastAsia="黑体"/>
                    </w:rPr>
                    <w:t>8</w:t>
                  </w:r>
                  <w:bookmarkEnd w:id="193"/>
                  <w:bookmarkEnd w:id="194"/>
                  <w:bookmarkEnd w:id="195"/>
                  <w:bookmarkEnd w:id="196"/>
                  <w:r>
                    <w:rPr>
                      <w:rFonts w:hint="eastAsia" w:ascii="黑体" w:hAnsi="黑体" w:eastAsia="黑体"/>
                    </w:rPr>
                    <w:t xml:space="preserve">        新时代教师专业素养提升工程</w:t>
                  </w:r>
                </w:p>
                <w:p>
                  <w:r>
                    <w:rPr>
                      <w:rFonts w:hint="eastAsia"/>
                    </w:rPr>
                    <w:t>校长领导力提升行动。重点提升校长的课程领导力、信息化领导力以及教育评价素养。通过对200名校级管理干部的专业化培训，培养不少于10名在全市有影响力的校长。</w:t>
                  </w:r>
                </w:p>
                <w:p>
                  <w:r>
                    <w:rPr>
                      <w:rFonts w:hint="eastAsia"/>
                    </w:rPr>
                    <w:t>班主任专业能力提升行动。重点提升班主任德育工作能力、学生生涯规划指导能力以及家庭教育、心理健康教育能力。每年集中培训班主任200名，到2025年为每所学校至少培养1名区级名班主任。</w:t>
                  </w:r>
                </w:p>
                <w:p>
                  <w:r>
                    <w:rPr>
                      <w:rFonts w:hint="eastAsia"/>
                    </w:rPr>
                    <w:t>思政课名师锻造行动。按照“六要”标准，通过岗位实践锻炼、思政课协同创新中心理论培训，培养不少于20名中小学思政课名师。</w:t>
                  </w:r>
                </w:p>
                <w:p>
                  <w:r>
                    <w:rPr>
                      <w:rFonts w:hint="eastAsia"/>
                    </w:rPr>
                    <w:t>骨干教师梯队建设行动。按照“四有好老师”和“四个引路人”标准，遴选、培训、认定，产生校级骨干教师1300名，区级骨干教师500名，市级骨干教师150名。</w:t>
                  </w:r>
                </w:p>
              </w:txbxContent>
            </v:textbox>
            <w10:wrap type="none"/>
            <w10:anchorlock/>
          </v:shape>
        </w:pict>
      </w:r>
    </w:p>
    <w:p>
      <w:bookmarkStart w:id="120" w:name="_Toc56581757"/>
      <w:bookmarkStart w:id="121" w:name="_Toc58936003"/>
      <w:r>
        <w:rPr>
          <w:rFonts w:hint="eastAsia"/>
        </w:rPr>
        <w:t>全面深化教师管理制度综合改革。</w:t>
      </w:r>
      <w:bookmarkEnd w:id="120"/>
      <w:bookmarkEnd w:id="121"/>
      <w:r>
        <w:rPr>
          <w:rFonts w:hint="eastAsia"/>
        </w:rPr>
        <w:t>坚持教育人才优先保障，逐步提高教育人才在全区高层次人才中的占比。持续</w:t>
      </w:r>
      <w:r>
        <w:t>优化教师队伍的年龄、学历</w:t>
      </w:r>
      <w:r>
        <w:rPr>
          <w:rFonts w:hint="eastAsia"/>
        </w:rPr>
        <w:t>和</w:t>
      </w:r>
      <w:r>
        <w:t>专</w:t>
      </w:r>
      <w:r>
        <w:rPr>
          <w:rFonts w:hint="eastAsia"/>
        </w:rPr>
        <w:t>业结构，吸引高学历人才和优秀人才长期从教、终身从教。深化义务教育教师“区管校聘”管理改革，形成教师交流轮岗的规范性制度，促进优质教育资源均衡配置。创新编制管理，建立跨学段、跨学校（学区、集团、共同体）编制调配制度。稳步</w:t>
      </w:r>
      <w:r>
        <w:t>推进教师职称制度改革，形成更加</w:t>
      </w:r>
      <w:r>
        <w:rPr>
          <w:rFonts w:hint="eastAsia"/>
        </w:rPr>
        <w:t>科学、合理的职称评聘运行机制。完善中小学校教师绩效工资制度，优化绩效工资结构和发放办法，强化绩效工资的激励功能。将职教中心学校承担职业培训情况作为核定职业学校教师绩效工资总量的重要依据。确保教师工资不低于本区公务员平均工资水平。依法保障和落实民办学校教师在业务培训、职务聘任等方面享有与公办学校教师同等权利。依法依规保障落实教师教育惩戒权，妥善处理涉及学校和教师的矛盾纠纷。建立健全教师退出机制。</w:t>
      </w:r>
    </w:p>
    <w:p>
      <w:pPr>
        <w:pStyle w:val="3"/>
        <w:ind w:firstLine="640"/>
      </w:pPr>
      <w:bookmarkStart w:id="122" w:name="_Toc58936004"/>
      <w:bookmarkStart w:id="123" w:name="_Toc56581758"/>
      <w:bookmarkStart w:id="124" w:name="_Toc59468251"/>
      <w:r>
        <w:rPr>
          <w:rFonts w:hint="eastAsia"/>
        </w:rPr>
        <w:t>（九）构建数字化、</w:t>
      </w:r>
      <w:r>
        <w:t>智能化时代的</w:t>
      </w:r>
      <w:r>
        <w:rPr>
          <w:rFonts w:hint="eastAsia"/>
        </w:rPr>
        <w:t>智慧教育体系</w:t>
      </w:r>
      <w:bookmarkEnd w:id="122"/>
      <w:bookmarkEnd w:id="123"/>
      <w:bookmarkEnd w:id="124"/>
    </w:p>
    <w:p>
      <w:bookmarkStart w:id="125" w:name="_Toc58936005"/>
      <w:bookmarkStart w:id="126" w:name="_Toc56581759"/>
      <w:r>
        <w:rPr>
          <w:rFonts w:hint="eastAsia"/>
        </w:rPr>
        <w:t>加快数字校园环境建设。</w:t>
      </w:r>
      <w:bookmarkEnd w:id="125"/>
      <w:bookmarkEnd w:id="126"/>
      <w:r>
        <w:rPr>
          <w:rFonts w:hint="eastAsia"/>
        </w:rPr>
        <w:t>继续</w:t>
      </w:r>
      <w:r>
        <w:t>落实教育信息化</w:t>
      </w:r>
      <w:r>
        <w:rPr>
          <w:rFonts w:hint="eastAsia"/>
        </w:rPr>
        <w:t>2.0行动</w:t>
      </w:r>
      <w:r>
        <w:t>计划，</w:t>
      </w:r>
      <w:r>
        <w:rPr>
          <w:rFonts w:hint="eastAsia"/>
        </w:rPr>
        <w:t>到2022年</w:t>
      </w:r>
      <w:r>
        <w:t>实现</w:t>
      </w:r>
      <w:r>
        <w:rPr>
          <w:rFonts w:hint="eastAsia"/>
        </w:rPr>
        <w:t>教学应用覆盖全体教师、学习应用覆盖全体适龄学生、数字校园建设覆盖全体学校，信息化应用水平和师生信息素养普遍提高，建成“互联网+教育”大平台。加快布局校园5G网络，</w:t>
      </w:r>
      <w:r>
        <w:t>探索</w:t>
      </w:r>
      <w:r>
        <w:rPr>
          <w:rFonts w:hint="eastAsia"/>
        </w:rPr>
        <w:t>建设智慧教室、未来教育体验中心、慕课学习中心等智能化、泛在化学习空间。学生手机有限带入学校，禁止带入课堂，通过多种方式满足学生应急通话需求，创建学校安静的督促氛围。梳理整合各类教育</w:t>
      </w:r>
      <w:r>
        <w:t>管理</w:t>
      </w:r>
      <w:r>
        <w:rPr>
          <w:rFonts w:hint="eastAsia"/>
        </w:rPr>
        <w:t>服务事项，实现教育政务信息系统全面整合和政务信息资源开放共享。</w:t>
      </w:r>
    </w:p>
    <w:p>
      <w:bookmarkStart w:id="127" w:name="_Toc56581760"/>
      <w:bookmarkStart w:id="128" w:name="_Toc58936006"/>
      <w:r>
        <w:rPr>
          <w:rFonts w:hint="eastAsia"/>
        </w:rPr>
        <w:t>提高大数据支撑能力。</w:t>
      </w:r>
      <w:bookmarkEnd w:id="127"/>
      <w:bookmarkEnd w:id="128"/>
      <w:r>
        <w:rPr>
          <w:rFonts w:hint="eastAsia"/>
        </w:rPr>
        <w:t>充分发挥大数据在教育教学管理、决策和服务中的作用。探索</w:t>
      </w:r>
      <w:r>
        <w:rPr>
          <w:rFonts w:hint="eastAsia" w:ascii="仿宋_GB2312" w:hAnsi="仿宋_GB2312" w:cs="仿宋_GB2312"/>
          <w:szCs w:val="32"/>
          <w:lang w:val="zh-TW"/>
        </w:rPr>
        <w:t>定制化</w:t>
      </w:r>
      <w:r>
        <w:rPr>
          <w:rFonts w:ascii="仿宋_GB2312" w:hAnsi="仿宋_GB2312" w:cs="仿宋_GB2312"/>
          <w:szCs w:val="32"/>
          <w:lang w:val="zh-TW"/>
        </w:rPr>
        <w:t>学情分析</w:t>
      </w:r>
      <w:r>
        <w:rPr>
          <w:rFonts w:hint="eastAsia" w:ascii="仿宋_GB2312" w:hAnsi="仿宋_GB2312" w:cs="仿宋_GB2312"/>
          <w:szCs w:val="32"/>
          <w:lang w:val="zh-TW"/>
        </w:rPr>
        <w:t>和学习预测，</w:t>
      </w:r>
      <w:r>
        <w:rPr>
          <w:rFonts w:hint="eastAsia" w:ascii="仿宋_GB2312" w:hAnsi="仿宋_GB2312" w:cs="仿宋_GB2312"/>
          <w:szCs w:val="32"/>
        </w:rPr>
        <w:t>提供个性化的学习路径和服务。</w:t>
      </w:r>
      <w:r>
        <w:rPr>
          <w:rFonts w:hint="eastAsia"/>
        </w:rPr>
        <w:t>加强校园图像信息、安全台账、自查情况等多维数据的校园安全态势分析，全面提升教育管理信息化支撑教育业务管理、政务服务、教学管理等工作的能力。规划建设安全、灵活、智能的校园网络基础设施，完善网络安全制度建设，增强网络信息安全监管力度，保障教育系统网络信息安全。</w:t>
      </w:r>
    </w:p>
    <w:p>
      <w:pPr>
        <w:ind w:firstLine="0" w:firstLineChars="0"/>
      </w:pPr>
      <w:r>
        <w:pict>
          <v:shape id="1043" o:spid="_x0000_s1027" o:spt="202" type="#_x0000_t202" style="height:489.75pt;width:411.05pt;" coordsize="21600,21600" o:gfxdata="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ldCK/XAAAABQEAAA8AAAAAAAAAAQAgAAAAIgAAAGRycy9kb3ducmV2LnhtbFBLAQIU&#10;ABQAAAAIAIdO4kCDzSToLQIAAIEEAAAOAAAAAAAAAAEAIAAAACYBAABkcnMvZTJvRG9jLnhtbFBL&#10;BQYAAAAABgAGAFkBAADFBQAAAAA=&#10;">
            <v:path/>
            <v:fill focussize="0,0"/>
            <v:stroke joinstyle="miter"/>
            <v:imagedata o:title=""/>
            <o:lock v:ext="edit"/>
            <v:textbox>
              <w:txbxContent>
                <w:p>
                  <w:pPr>
                    <w:ind w:firstLine="0" w:firstLineChars="0"/>
                    <w:jc w:val="left"/>
                    <w:rPr>
                      <w:rFonts w:ascii="黑体" w:hAnsi="黑体" w:eastAsia="黑体"/>
                    </w:rPr>
                  </w:pPr>
                  <w:bookmarkStart w:id="197" w:name="_Toc58402333"/>
                  <w:bookmarkStart w:id="198" w:name="_Toc56581763"/>
                  <w:bookmarkStart w:id="199" w:name="_Toc58936008"/>
                  <w:bookmarkStart w:id="200" w:name="_Toc58936062"/>
                  <w:r>
                    <w:rPr>
                      <w:rFonts w:hint="eastAsia" w:ascii="黑体" w:hAnsi="黑体" w:eastAsia="黑体"/>
                    </w:rPr>
                    <w:t>专栏</w:t>
                  </w:r>
                  <w:r>
                    <w:rPr>
                      <w:rFonts w:ascii="黑体" w:hAnsi="黑体" w:eastAsia="黑体"/>
                    </w:rPr>
                    <w:t>9</w:t>
                  </w:r>
                  <w:r>
                    <w:rPr>
                      <w:rFonts w:hint="eastAsia" w:ascii="黑体" w:hAnsi="黑体" w:eastAsia="黑体"/>
                    </w:rPr>
                    <w:t xml:space="preserve">       “智慧+”教育平台建设</w:t>
                  </w:r>
                  <w:r>
                    <w:rPr>
                      <w:rFonts w:ascii="黑体" w:hAnsi="黑体" w:eastAsia="黑体"/>
                    </w:rPr>
                    <w:t>工程</w:t>
                  </w:r>
                  <w:bookmarkEnd w:id="197"/>
                  <w:bookmarkEnd w:id="198"/>
                  <w:bookmarkEnd w:id="199"/>
                  <w:bookmarkEnd w:id="200"/>
                </w:p>
                <w:p>
                  <w:r>
                    <w:rPr>
                      <w:rFonts w:hint="eastAsia"/>
                    </w:rPr>
                    <w:t>“三通两平台”提升改造行动。实现全区中小学幼儿园高速宽带全接入和无线网络全覆盖，对接市级教育资源公共服务平台，建立覆盖基础教育各年级、各学科的数字教育资源体系，构建以学习者为中心的智慧教学支持系统，做到“一人一空间，人人用空间”，达到智慧教育新高度。培育市级智慧教育示范校10所以上，创建市级智慧教育示范区。</w:t>
                  </w:r>
                </w:p>
                <w:p>
                  <w:r>
                    <w:rPr>
                      <w:rFonts w:hint="eastAsia"/>
                    </w:rPr>
                    <w:t>学校信息化教学创新行动。以学科信息化教学为重点，以校为单位组建“骨干引领、学科联动、团队互助、整体提升”的研修共同体，以问题为导向，围绕学科课程标准、教学资源运用开展教学案例研讨，课程实录分析等信息化教学校本研修。打造“技术创新课堂”，提升教师应用信息技术进行教学设计、学情分析、教学监测、学生指导、在线教学和学业评价等能力，助力学校教学创新。</w:t>
                  </w:r>
                </w:p>
              </w:txbxContent>
            </v:textbox>
            <w10:wrap type="none"/>
            <w10:anchorlock/>
          </v:shape>
        </w:pict>
      </w:r>
    </w:p>
    <w:p>
      <w:pPr>
        <w:pStyle w:val="3"/>
        <w:ind w:firstLine="640"/>
      </w:pPr>
      <w:bookmarkStart w:id="129" w:name="_Toc56581764"/>
      <w:bookmarkStart w:id="130" w:name="_Toc59468252"/>
      <w:bookmarkStart w:id="131" w:name="_Toc58936009"/>
      <w:bookmarkStart w:id="132" w:name="_Toc59468253"/>
      <w:bookmarkStart w:id="133" w:name="_Toc56581775"/>
      <w:bookmarkStart w:id="134" w:name="_Toc58936016"/>
      <w:r>
        <w:rPr>
          <w:rFonts w:hint="eastAsia"/>
        </w:rPr>
        <w:t>（十）推进教育治理体系和</w:t>
      </w:r>
      <w:r>
        <w:t>治理能力现代化</w:t>
      </w:r>
      <w:bookmarkEnd w:id="129"/>
      <w:bookmarkEnd w:id="130"/>
      <w:bookmarkEnd w:id="131"/>
    </w:p>
    <w:p>
      <w:bookmarkStart w:id="135" w:name="_Toc58936010"/>
      <w:bookmarkStart w:id="136" w:name="_Toc56581765"/>
      <w:r>
        <w:rPr>
          <w:rFonts w:hint="eastAsia"/>
        </w:rPr>
        <w:t>提高教育法治化水平。</w:t>
      </w:r>
      <w:bookmarkEnd w:id="135"/>
      <w:bookmarkEnd w:id="136"/>
      <w:r>
        <w:rPr>
          <w:rFonts w:hint="eastAsia"/>
        </w:rPr>
        <w:t>健全教育行政执法机制，推进多部门联合执法，运用行政指导、行政处罚、行政强制等手段，依法纠正学校和教育机构的违法违规、侵害受教育者权益、扰乱教育秩序等行为，保障教育法律和政策有效实施。</w:t>
      </w:r>
      <w:r>
        <w:rPr>
          <w:rFonts w:hint="eastAsia" w:ascii="仿宋_GB2312"/>
          <w:szCs w:val="32"/>
        </w:rPr>
        <w:t>深化教育管理体制改革，深化简政放权、放管结合、优化服务改革。</w:t>
      </w:r>
      <w:r>
        <w:rPr>
          <w:rFonts w:hint="eastAsia"/>
        </w:rPr>
        <w:t>深化中小学章程建设，建立章程配套制度及落实机制，实现“一校一章程、章程有特色，校校有制度、制度要落实”。每所</w:t>
      </w:r>
      <w:r>
        <w:t>学校配备</w:t>
      </w:r>
      <w:r>
        <w:rPr>
          <w:rFonts w:hint="eastAsia"/>
        </w:rPr>
        <w:t>1名</w:t>
      </w:r>
      <w:r>
        <w:t>法制副校长，定期开展</w:t>
      </w:r>
      <w:r>
        <w:rPr>
          <w:rFonts w:hint="eastAsia"/>
        </w:rPr>
        <w:t>普法宣传</w:t>
      </w:r>
      <w:r>
        <w:t>教育</w:t>
      </w:r>
      <w:r>
        <w:rPr>
          <w:rFonts w:hint="eastAsia"/>
        </w:rPr>
        <w:t>，</w:t>
      </w:r>
      <w:r>
        <w:t>完善</w:t>
      </w:r>
      <w:r>
        <w:rPr>
          <w:rFonts w:hint="eastAsia"/>
        </w:rPr>
        <w:t>学校</w:t>
      </w:r>
      <w:r>
        <w:t>法律顾问制度</w:t>
      </w:r>
      <w:r>
        <w:rPr>
          <w:rFonts w:hint="eastAsia"/>
        </w:rPr>
        <w:t>。强化学校依法办学意识，创建一批依法治校示范学校。开展中小学领导干部依法治校能力培训，全面提高教师依法执教的意识与能力。</w:t>
      </w:r>
    </w:p>
    <w:p>
      <w:pPr>
        <w:rPr>
          <w:rFonts w:ascii="仿宋_GB2312"/>
          <w:szCs w:val="32"/>
        </w:rPr>
      </w:pPr>
      <w:bookmarkStart w:id="137" w:name="_Toc56581766"/>
      <w:bookmarkStart w:id="138" w:name="_Toc58936011"/>
      <w:r>
        <w:rPr>
          <w:rFonts w:hint="eastAsia"/>
        </w:rPr>
        <w:t>释放学校办学活力。</w:t>
      </w:r>
      <w:bookmarkEnd w:id="137"/>
      <w:bookmarkEnd w:id="138"/>
      <w:r>
        <w:rPr>
          <w:rFonts w:hint="eastAsia"/>
        </w:rPr>
        <w:t>提升政府管理服务水平，落实教育行政管理权力清单和责任清单制度。落实减轻中小学教师负担清单，减少对学校办学行为的行政干预、评审评估和检查项目以及对学校正常教育教学活动的干扰。</w:t>
      </w:r>
      <w:r>
        <w:rPr>
          <w:rFonts w:hint="eastAsia" w:ascii="仿宋_GB2312"/>
          <w:szCs w:val="32"/>
        </w:rPr>
        <w:t>面向学校的各类审批、检查验收、创建评比等活动，必须经过教育部门同意。</w:t>
      </w:r>
      <w:r>
        <w:rPr>
          <w:rFonts w:hint="eastAsia"/>
        </w:rPr>
        <w:t>保障学校在教学工作、资源配置、人事管理等方面的自主权，鼓励支持学校结合实际科学构建基于学校办学理念和特色的校本课程，优化学校内设机构。学校依据核定的编制、岗位数量及岗位结构比例和教育教学需要，提出教师招聘需求和岗位条件，并全程参与面试、考察和拟聘人员确定，探索在学校先行面试的基础上组织招聘。加大</w:t>
      </w:r>
      <w:r>
        <w:t>学校经费使用自主权，</w:t>
      </w:r>
      <w:r>
        <w:rPr>
          <w:rFonts w:hint="eastAsia"/>
        </w:rPr>
        <w:t>学校依法依规自主使用社会捐资助学的经费。</w:t>
      </w:r>
    </w:p>
    <w:p>
      <w:bookmarkStart w:id="139" w:name="_Toc58936012"/>
      <w:bookmarkStart w:id="140" w:name="_Toc56581768"/>
      <w:r>
        <w:rPr>
          <w:rFonts w:hint="eastAsia"/>
        </w:rPr>
        <w:t>深化教育督导体制机制改革。</w:t>
      </w:r>
      <w:bookmarkEnd w:id="139"/>
      <w:bookmarkEnd w:id="140"/>
      <w:r>
        <w:rPr>
          <w:rFonts w:hint="eastAsia"/>
        </w:rPr>
        <w:t>全面落实教育督导职能，重在发现问题、诊断问题、督促整改，强化督政、督学、评估监测职能。建立一支数量充足、结构合理、业务精湛、廉洁高效、专兼结合的督学队伍，定期就办学方向、课程教学、教师（校长）专业发展、学校管理、学生发展和办学绩效等方面开展评估。完善督学责任区制度，对学校落实立德树人情况和校园安全责任制落实情况开展经常性督导。充分利用互联网、大数据、云计算等开展督导评估监测工作。深化教育督导问责机制改革，强化整改，健全复查制度，建立教育督导与教育行政审批、处罚、执法的联动机制。把对学校综合督导评估结果作为中小学校（幼儿园）改进管理、提高质量的重要依据，促进学校不断提高管理水平。</w:t>
      </w:r>
    </w:p>
    <w:p>
      <w:bookmarkStart w:id="141" w:name="_Toc58936013"/>
      <w:bookmarkStart w:id="142" w:name="_Toc56581769"/>
      <w:r>
        <w:rPr>
          <w:rFonts w:hint="eastAsia"/>
        </w:rPr>
        <w:t>深入推进新时代教育评价改革</w:t>
      </w:r>
      <w:bookmarkEnd w:id="141"/>
      <w:r>
        <w:rPr>
          <w:rFonts w:hint="eastAsia"/>
        </w:rPr>
        <w:t>。坚决纠正片面追求升学率倾向，完善各级各类学校评价标准，</w:t>
      </w:r>
      <w:r>
        <w:t>建立以“绿色指标”评价为重点</w:t>
      </w:r>
      <w:r>
        <w:rPr>
          <w:rFonts w:hint="eastAsia"/>
        </w:rPr>
        <w:t>、以发展素质教育为导向的学校办学质量评价体系，更加注重学生爱国情怀、创新精神和健康人格培养，切实抓好手机、作业、睡眠、读物、体质管理等“五项管理”改革。坚决克服重智育轻德育、重分数轻素质等片面办学行为。构建引导学生德智体美劳全面发展的过程性评价办法和考试内容体系，完善综合素质评价体系，健全初、高中学生综合素质档案建设和使用办法。改革用人评价，探索建立以品德和能力为导向、以岗位需求为目标的人才使用机制。引导全社会树立科学的教育发展观、人才成长观。</w:t>
      </w:r>
    </w:p>
    <w:p>
      <w:bookmarkStart w:id="143" w:name="_Toc58936014"/>
      <w:r>
        <w:rPr>
          <w:rFonts w:hint="eastAsia"/>
        </w:rPr>
        <w:t>支持和</w:t>
      </w:r>
      <w:r>
        <w:t>规范</w:t>
      </w:r>
      <w:r>
        <w:rPr>
          <w:rFonts w:hint="eastAsia"/>
        </w:rPr>
        <w:t>民办教育发展。</w:t>
      </w:r>
      <w:bookmarkEnd w:id="142"/>
      <w:bookmarkEnd w:id="143"/>
      <w:r>
        <w:rPr>
          <w:rFonts w:hint="eastAsia"/>
        </w:rPr>
        <w:t>鼓励社会力量兴办教育，实施民办学校分类管理，落实财政、土地、收费等方面的差异化扶持政策。完善普惠性民办幼儿园等级认定标准和监管办法，强化民办义务教育规范管理，坚持国家举办义务教育，确保义务教育公益属性。建立健全民办学校理事会（董事会）、监事会制度，规范理事会（董事会）、监事会成员结构，完善教职工代表大会制度。保障民办学校教师在业务培训、职务聘任、教龄和工龄计算、表彰奖励、科研立项等方面享有与公办学校教师同等权利。加强区级层面的组织协调，统筹解决民办教育改革与发展中的重大问题。严格规范校外培训机构，</w:t>
      </w:r>
      <w:r>
        <w:rPr>
          <w:rFonts w:hint="eastAsia"/>
          <w:lang w:eastAsia="zh-CN"/>
        </w:rPr>
        <w:t>做好教育系统政务服务事项事中事后监管工作，定期组织开展联合执法，规范培训行为</w:t>
      </w:r>
      <w:r>
        <w:rPr>
          <w:rFonts w:hint="eastAsia"/>
        </w:rPr>
        <w:t>。设立民办学校资金监管账户，建立分级分类监管和风险预警通报机制，坚决纠正不良办学行为。</w:t>
      </w:r>
    </w:p>
    <w:p>
      <w:bookmarkStart w:id="144" w:name="_Toc58936015"/>
      <w:bookmarkStart w:id="145" w:name="_Toc56581770"/>
      <w:r>
        <w:rPr>
          <w:rFonts w:hint="eastAsia"/>
        </w:rPr>
        <w:t>强化安全稳定工作</w:t>
      </w:r>
      <w:r>
        <w:t>机制</w:t>
      </w:r>
      <w:r>
        <w:rPr>
          <w:rFonts w:hint="eastAsia"/>
        </w:rPr>
        <w:t>。</w:t>
      </w:r>
      <w:bookmarkEnd w:id="144"/>
      <w:bookmarkEnd w:id="145"/>
      <w:r>
        <w:rPr>
          <w:rFonts w:hint="eastAsia"/>
        </w:rPr>
        <w:t>坚持</w:t>
      </w:r>
      <w:r>
        <w:t>预防预备和应急处突相结合，</w:t>
      </w:r>
      <w:r>
        <w:rPr>
          <w:rFonts w:hint="eastAsia"/>
        </w:rPr>
        <w:t>落实安全隐患排查制度，建立健全</w:t>
      </w:r>
      <w:r>
        <w:t>联防联控机制</w:t>
      </w:r>
      <w:r>
        <w:rPr>
          <w:rFonts w:hint="eastAsia"/>
        </w:rPr>
        <w:t>。科学精准做好校园常态化疫情防控工作，完善学校疫情防控策略和措施，提高</w:t>
      </w:r>
      <w:r>
        <w:t>学校应对</w:t>
      </w:r>
      <w:r>
        <w:rPr>
          <w:rFonts w:hint="eastAsia"/>
        </w:rPr>
        <w:t>如</w:t>
      </w:r>
      <w:r>
        <w:t>新冠肺炎疫情等突发公共卫生事件监测预警处置能力</w:t>
      </w:r>
      <w:r>
        <w:rPr>
          <w:rFonts w:hint="eastAsia"/>
        </w:rPr>
        <w:t>。完善校园欺凌排查、预警、处置及干预机制，全力打造无欺凌校园。开展教育系统安全生产专项整治三年行动，将提高学生安全意识和自我防护能力作为素质教育的重要内容，加强中小学校和幼儿园周边综合治理，全面实行学生安全区域制度，防范校园恶性安全事件。有针对性地开展安全专题教育，定期组织应对地震、火灾等情况的应急疏散演练。指导学校完善安全风险防控体系，加强人防、物防、技防设施建设与维护。全面落实食品安全责任制，完善食品安全管理规章制度。完善学校安全事故处理和风险化解机制，统筹协调中小学校安全事故与应急事件处置。完善接访、受理、调解、回访、反馈等信访工作制度。</w:t>
      </w:r>
    </w:p>
    <w:p>
      <w:pPr>
        <w:pStyle w:val="2"/>
        <w:ind w:firstLine="640"/>
      </w:pPr>
      <w:r>
        <w:rPr>
          <w:rFonts w:hint="eastAsia"/>
        </w:rPr>
        <w:t>四、全面保障规划实施</w:t>
      </w:r>
      <w:bookmarkEnd w:id="132"/>
      <w:bookmarkEnd w:id="133"/>
      <w:bookmarkEnd w:id="134"/>
    </w:p>
    <w:p>
      <w:r>
        <w:rPr>
          <w:rFonts w:hint="eastAsia"/>
        </w:rPr>
        <w:t>为确保</w:t>
      </w:r>
      <w:r>
        <w:t>规划的顺利实施，</w:t>
      </w:r>
      <w:r>
        <w:rPr>
          <w:rFonts w:hint="eastAsia"/>
        </w:rPr>
        <w:t>各部门要</w:t>
      </w:r>
      <w:r>
        <w:t>在</w:t>
      </w:r>
      <w:r>
        <w:rPr>
          <w:rFonts w:hint="eastAsia"/>
        </w:rPr>
        <w:t>区委区政府领导下加强统筹整合协同，优先保障教育经费投入，优先保障学校建设，优先落实教师队伍建设政策，为“十四五”时期教育改革发展提供有力的保障。</w:t>
      </w:r>
    </w:p>
    <w:p>
      <w:pPr>
        <w:pStyle w:val="3"/>
        <w:ind w:firstLine="640"/>
      </w:pPr>
      <w:bookmarkStart w:id="146" w:name="_Toc58936017"/>
      <w:bookmarkStart w:id="147" w:name="_Toc59468254"/>
      <w:bookmarkStart w:id="148" w:name="_Toc56581776"/>
      <w:r>
        <w:rPr>
          <w:rFonts w:hint="eastAsia"/>
        </w:rPr>
        <w:t>（一）加强统筹整合协同</w:t>
      </w:r>
      <w:bookmarkEnd w:id="146"/>
      <w:bookmarkEnd w:id="147"/>
      <w:bookmarkEnd w:id="148"/>
    </w:p>
    <w:p>
      <w:bookmarkStart w:id="149" w:name="_Toc56581777"/>
      <w:bookmarkStart w:id="150" w:name="_Toc58936018"/>
      <w:r>
        <w:rPr>
          <w:rFonts w:hint="eastAsia"/>
        </w:rPr>
        <w:t>加强组织领导。</w:t>
      </w:r>
      <w:bookmarkEnd w:id="149"/>
      <w:bookmarkEnd w:id="150"/>
      <w:r>
        <w:rPr>
          <w:rFonts w:hint="eastAsia"/>
        </w:rPr>
        <w:t>坚持把教育摆在优先发展地位，深刻认识教育在“走双创（创新创业）强区之路，实现绿色高质量发展”中的基础性作用，主动承担历史责任，切实解决教育领域重点和难点问题。教育局要会同有关部门为深化教育教学改革、提高教育质量提供保障条件，切实管好学校。组织部要把落实教育优先发展、推进教育改革作为党政领导班子绩效考核的重要内容和领导干部提拔晋升的重要依据，为教育改革提供组织保障，指导教育局党委做好教育系统领导班子建设工作。宣传部要抓好正面宣传和舆论引导工作，为教育改革营造良好的舆论氛围和社会环境，推动社区学习中心和学习型城区建设。发展改革委要优先将各级各类教育发展纳入国民经济和社会发展规划。卫生健康委要指导学校做好传染病、常见病的预防工作。编委办要做好学校编制核定工作，依法保障学校编制的落实。人社局要依法落实教师待遇，支持学校充分参与教师招聘工作。规资局、住建委等部门要配合做好学校布局规划，统筹做好土地供给和学校建设工作。财政局要加大财政投入，优化支出结构，确保教育经费及时足额落实到位。文体旅游局要配合教育做好教体结合，提高学校体育运动水平。免费或优惠向学生开放图书馆、文化馆、运动场等公共设施，支持研学旅行。区委政法委要协调公安、司法等政法机关和有关部门，加强校园及周边综合治理，维护校园正常秩序和师生合法权益。市场监管局要做好校外培训机构登记、收费、广告、反垄断等监管工作，落实食品安全管理制度和从业人员健康管理、培训制度。金融局要协调做好民办学校学费监管工作。共青团组织要积极开展思想政治引领和价值引领。妇联要加强社区家庭教育指导服务，少先队等群团组织和关心下一代工作委员会要做好少年儿童有关教育引导和关爱保护工作。其他各有关部门和群团组织要结合各自职责，为教育改革提供有力支撑、创造有利条件。</w:t>
      </w:r>
    </w:p>
    <w:p>
      <w:pPr>
        <w:pStyle w:val="3"/>
        <w:ind w:firstLine="640"/>
        <w:rPr>
          <w:rFonts w:eastAsia="仿宋_GB2312"/>
          <w:szCs w:val="22"/>
        </w:rPr>
      </w:pPr>
      <w:bookmarkStart w:id="151" w:name="_Toc59468255"/>
      <w:bookmarkStart w:id="152" w:name="_Toc56581779"/>
      <w:bookmarkStart w:id="153" w:name="_Toc58936020"/>
      <w:r>
        <w:rPr>
          <w:rFonts w:hint="eastAsia"/>
        </w:rPr>
        <w:t>（二）强化投入保障</w:t>
      </w:r>
      <w:bookmarkEnd w:id="151"/>
      <w:bookmarkEnd w:id="152"/>
      <w:bookmarkEnd w:id="153"/>
    </w:p>
    <w:p>
      <w:pPr>
        <w:rPr>
          <w:bCs/>
          <w:szCs w:val="32"/>
        </w:rPr>
      </w:pPr>
      <w:bookmarkStart w:id="154" w:name="_Toc58936021"/>
      <w:bookmarkStart w:id="155" w:name="_Toc56581780"/>
      <w:r>
        <w:rPr>
          <w:rFonts w:hint="eastAsia"/>
        </w:rPr>
        <w:t>完善经费投入机制。</w:t>
      </w:r>
      <w:bookmarkEnd w:id="154"/>
      <w:bookmarkEnd w:id="155"/>
      <w:r>
        <w:rPr>
          <w:rFonts w:hint="eastAsia"/>
        </w:rPr>
        <w:t>推进教育经费持续稳定增长，确保一般公共预算教育支出逐年只增不减，确保按在校学生人数平均的一般公共预算教育支出逐年只增不减</w:t>
      </w:r>
      <w:r>
        <w:rPr>
          <w:rFonts w:hint="eastAsia"/>
          <w:bCs/>
        </w:rPr>
        <w:t>。</w:t>
      </w:r>
      <w:r>
        <w:rPr>
          <w:rFonts w:hint="eastAsia"/>
        </w:rPr>
        <w:t>优化教育投入方式，完善预算分配方式，更加注重经常性、整体性，更加重视保障人员经费需求。根据政府财力、办学需求和物价水平</w:t>
      </w:r>
      <w:r>
        <w:rPr>
          <w:rFonts w:hint="eastAsia"/>
          <w:bCs/>
        </w:rPr>
        <w:t>，适时</w:t>
      </w:r>
      <w:r>
        <w:rPr>
          <w:rFonts w:hint="eastAsia"/>
        </w:rPr>
        <w:t>提高中小学、幼儿园和中职学校生均公用经费定额标准。</w:t>
      </w:r>
      <w:r>
        <w:rPr>
          <w:rFonts w:hint="eastAsia"/>
          <w:bCs/>
          <w:szCs w:val="32"/>
        </w:rPr>
        <w:t>完善捐赠教育激励机制，</w:t>
      </w:r>
      <w:r>
        <w:rPr>
          <w:rFonts w:hint="eastAsia"/>
          <w:szCs w:val="32"/>
        </w:rPr>
        <w:t>广泛吸引社会力量通过多种形式捐资助学。</w:t>
      </w:r>
    </w:p>
    <w:p>
      <w:bookmarkStart w:id="156" w:name="_Toc56581781"/>
      <w:bookmarkStart w:id="157" w:name="_Toc58936022"/>
      <w:r>
        <w:rPr>
          <w:rFonts w:hint="eastAsia"/>
        </w:rPr>
        <w:t>全面提高教育经费使用效益。</w:t>
      </w:r>
      <w:bookmarkEnd w:id="156"/>
      <w:bookmarkEnd w:id="157"/>
      <w:r>
        <w:rPr>
          <w:rFonts w:hint="eastAsia"/>
        </w:rPr>
        <w:t>全面实施预算绩效管理改革，健全教育经费绩效评估制度，用好每一分钱。加大学校经费使用自主权，优先保障教育教学需要，确保学校有效使用、正常运转。加强对教育经费使用效果的评估，定期对经费使用绩效进行评估检查，根据评估结果及时调整经费投入结构。推动完善学校财务会计制度、国有资产管理制度。严格执行教育收费公示制度，加强教育收费收支管理。全面落实教育收费管理主体责任，进一步加强和规范教育收费管理。加强内部控制机制建设，完善教育内部审计制度。完善教育经费统计公告制度，落实财政教育经费预决算公开制度，主动接受社会监督，努力实现教育经费使用效益最大化。</w:t>
      </w:r>
    </w:p>
    <w:p>
      <w:pPr>
        <w:pStyle w:val="3"/>
        <w:ind w:firstLine="640"/>
      </w:pPr>
      <w:bookmarkStart w:id="158" w:name="_Toc58936023"/>
      <w:bookmarkStart w:id="159" w:name="_Toc56581782"/>
      <w:bookmarkStart w:id="160" w:name="_Toc59468256"/>
      <w:r>
        <w:rPr>
          <w:rFonts w:hint="eastAsia"/>
        </w:rPr>
        <w:t>（三）创设和谐发展环境</w:t>
      </w:r>
      <w:bookmarkEnd w:id="158"/>
      <w:bookmarkEnd w:id="159"/>
      <w:bookmarkEnd w:id="160"/>
    </w:p>
    <w:p>
      <w:bookmarkStart w:id="161" w:name="_Toc56581783"/>
      <w:bookmarkStart w:id="162" w:name="_Toc58936024"/>
      <w:r>
        <w:rPr>
          <w:rFonts w:hint="eastAsia"/>
        </w:rPr>
        <w:t>做好舆论宣传和引导。</w:t>
      </w:r>
      <w:bookmarkEnd w:id="161"/>
      <w:bookmarkEnd w:id="162"/>
      <w:r>
        <w:rPr>
          <w:rFonts w:hint="eastAsia"/>
        </w:rPr>
        <w:t>落实政府主导责任，坚持正确的舆论导向，创新和改进网上宣传，把握网络传播规律。充分利用微博、微信等新媒体、新手段，为青少年提供内容健康向上、具有艺术魅力的精神产品。加强教育公益宣传，引导社会树立正确的教育观、人才观，营造良好舆论环境。</w:t>
      </w:r>
      <w:bookmarkStart w:id="163" w:name="_Toc56581778"/>
      <w:bookmarkStart w:id="164" w:name="_Toc58936019"/>
    </w:p>
    <w:p>
      <w:r>
        <w:rPr>
          <w:rFonts w:hint="eastAsia"/>
        </w:rPr>
        <w:t>完善推动教育改革的工作机制。</w:t>
      </w:r>
      <w:bookmarkEnd w:id="163"/>
      <w:bookmarkEnd w:id="164"/>
      <w:r>
        <w:rPr>
          <w:rFonts w:hint="eastAsia"/>
        </w:rPr>
        <w:t>建立健全教育改革统筹决策、研究咨询、分工落实、督察督办、总结推广的工作机制。健全决策服务机制，加强新型教育智库建设，加强教育战略和宏观政策研究，为破解教育难题提供科学决策依据。完善教育改革试点机制，鼓励各校结合实际大胆实践，多出可推广、可复制的改革经验，宽容对待自主探索的改革、失误。建立规划重要工程项目推进季报、年报制度，确保规划落实落地。</w:t>
      </w:r>
    </w:p>
    <w:p/>
    <w:p>
      <w:pPr>
        <w:rPr>
          <w:color w:val="FF0000"/>
        </w:rPr>
      </w:pPr>
    </w:p>
    <w:sectPr>
      <w:footerReference r:id="rId15"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0000000000000000000"/>
    <w:charset w:val="86"/>
    <w:family w:val="auto"/>
    <w:pitch w:val="default"/>
    <w:sig w:usb0="00000000" w:usb1="00000000" w:usb2="00000010" w:usb3="00000000" w:csb0="0004009F" w:csb1="00000000"/>
  </w:font>
  <w:font w:name="等线">
    <w:altName w:val="微软雅黑"/>
    <w:panose1 w:val="00000000000000000000"/>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right"/>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path/>
          <v:fill on="f" focussize="0,0"/>
          <v:stroke on="f" weight="0.5pt" joinstyle="miter"/>
          <v:imagedata o:title=""/>
          <o:lock v:ext="edit"/>
          <v:textbox inset="0mm,0mm,0mm,0mm" style="mso-fit-shape-to-text:t;">
            <w:txbxContent>
              <w:sdt>
                <w:sdtPr>
                  <w:id w:val="8783606"/>
                </w:sdtPr>
                <w:sdtContent>
                  <w:p>
                    <w:pPr>
                      <w:pStyle w:val="9"/>
                      <w:ind w:firstLine="360"/>
                      <w:jc w:val="righ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23 -</w:t>
                    </w:r>
                    <w:r>
                      <w:rPr>
                        <w:rFonts w:hint="eastAsia" w:ascii="宋体" w:hAnsi="宋体" w:eastAsia="宋体" w:cs="宋体"/>
                        <w:sz w:val="28"/>
                        <w:szCs w:val="28"/>
                        <w:lang w:val="zh-CN"/>
                      </w:rPr>
                      <w:fldChar w:fldCharType="end"/>
                    </w:r>
                  </w:p>
                </w:sdtContent>
              </w:sdt>
              <w:p/>
            </w:txbxContent>
          </v:textbox>
        </v:shape>
      </w:pict>
    </w:r>
  </w:p>
  <w:p>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F0117"/>
    <w:rsid w:val="00001A64"/>
    <w:rsid w:val="000026DF"/>
    <w:rsid w:val="0000512B"/>
    <w:rsid w:val="00016E07"/>
    <w:rsid w:val="00022608"/>
    <w:rsid w:val="000244E8"/>
    <w:rsid w:val="00031CD3"/>
    <w:rsid w:val="0003525F"/>
    <w:rsid w:val="00045966"/>
    <w:rsid w:val="0004730F"/>
    <w:rsid w:val="00067B7D"/>
    <w:rsid w:val="000848E6"/>
    <w:rsid w:val="000A1922"/>
    <w:rsid w:val="000A3987"/>
    <w:rsid w:val="000C2FB1"/>
    <w:rsid w:val="000D0D63"/>
    <w:rsid w:val="000D7248"/>
    <w:rsid w:val="000E6CBD"/>
    <w:rsid w:val="000F0F0C"/>
    <w:rsid w:val="000F2D6E"/>
    <w:rsid w:val="000F6777"/>
    <w:rsid w:val="001037F8"/>
    <w:rsid w:val="001071E9"/>
    <w:rsid w:val="00110CC2"/>
    <w:rsid w:val="00112C43"/>
    <w:rsid w:val="00123C21"/>
    <w:rsid w:val="00132B28"/>
    <w:rsid w:val="001330E0"/>
    <w:rsid w:val="0014730E"/>
    <w:rsid w:val="00161F8B"/>
    <w:rsid w:val="00165FE6"/>
    <w:rsid w:val="00171A54"/>
    <w:rsid w:val="00182B32"/>
    <w:rsid w:val="00193A5E"/>
    <w:rsid w:val="001B1685"/>
    <w:rsid w:val="001C3084"/>
    <w:rsid w:val="001F5628"/>
    <w:rsid w:val="00201BDD"/>
    <w:rsid w:val="002159C7"/>
    <w:rsid w:val="002231F8"/>
    <w:rsid w:val="0022623D"/>
    <w:rsid w:val="00233510"/>
    <w:rsid w:val="00237F0E"/>
    <w:rsid w:val="00241651"/>
    <w:rsid w:val="00244C61"/>
    <w:rsid w:val="002459C9"/>
    <w:rsid w:val="00251E26"/>
    <w:rsid w:val="00260DFF"/>
    <w:rsid w:val="00261282"/>
    <w:rsid w:val="0026526B"/>
    <w:rsid w:val="0026631D"/>
    <w:rsid w:val="00267752"/>
    <w:rsid w:val="00283EB8"/>
    <w:rsid w:val="00286091"/>
    <w:rsid w:val="002A05F1"/>
    <w:rsid w:val="002C1266"/>
    <w:rsid w:val="002D47C2"/>
    <w:rsid w:val="002E051B"/>
    <w:rsid w:val="002E1B99"/>
    <w:rsid w:val="002E470E"/>
    <w:rsid w:val="002F35E4"/>
    <w:rsid w:val="00301024"/>
    <w:rsid w:val="003015F8"/>
    <w:rsid w:val="0030526E"/>
    <w:rsid w:val="00311DAA"/>
    <w:rsid w:val="0031546E"/>
    <w:rsid w:val="0031642C"/>
    <w:rsid w:val="003164D6"/>
    <w:rsid w:val="003206B1"/>
    <w:rsid w:val="00321DED"/>
    <w:rsid w:val="00327E78"/>
    <w:rsid w:val="0033385D"/>
    <w:rsid w:val="003354BA"/>
    <w:rsid w:val="003374CA"/>
    <w:rsid w:val="00342C9A"/>
    <w:rsid w:val="00342EED"/>
    <w:rsid w:val="003520E9"/>
    <w:rsid w:val="00365A74"/>
    <w:rsid w:val="0036679F"/>
    <w:rsid w:val="003740F2"/>
    <w:rsid w:val="0037581D"/>
    <w:rsid w:val="003761AD"/>
    <w:rsid w:val="00382D71"/>
    <w:rsid w:val="003832E9"/>
    <w:rsid w:val="00384D2A"/>
    <w:rsid w:val="003A41DA"/>
    <w:rsid w:val="003A54E0"/>
    <w:rsid w:val="003B114B"/>
    <w:rsid w:val="003B4E5C"/>
    <w:rsid w:val="003C20E3"/>
    <w:rsid w:val="003C2420"/>
    <w:rsid w:val="003C7F5B"/>
    <w:rsid w:val="003D4DCE"/>
    <w:rsid w:val="003D5E19"/>
    <w:rsid w:val="003E0AC9"/>
    <w:rsid w:val="003E11D2"/>
    <w:rsid w:val="003E16B6"/>
    <w:rsid w:val="003E3BD3"/>
    <w:rsid w:val="003E4F5C"/>
    <w:rsid w:val="003E5D68"/>
    <w:rsid w:val="003E6ED1"/>
    <w:rsid w:val="003F249C"/>
    <w:rsid w:val="003F280F"/>
    <w:rsid w:val="00404A83"/>
    <w:rsid w:val="00413FE8"/>
    <w:rsid w:val="004172A3"/>
    <w:rsid w:val="004207F5"/>
    <w:rsid w:val="004220A6"/>
    <w:rsid w:val="00437395"/>
    <w:rsid w:val="004426DC"/>
    <w:rsid w:val="004453FC"/>
    <w:rsid w:val="00455355"/>
    <w:rsid w:val="00456B99"/>
    <w:rsid w:val="004577E4"/>
    <w:rsid w:val="00462F97"/>
    <w:rsid w:val="0048051E"/>
    <w:rsid w:val="00481BEE"/>
    <w:rsid w:val="00490135"/>
    <w:rsid w:val="00493D38"/>
    <w:rsid w:val="0049670A"/>
    <w:rsid w:val="004A4C60"/>
    <w:rsid w:val="004B522E"/>
    <w:rsid w:val="004B5466"/>
    <w:rsid w:val="004C00E6"/>
    <w:rsid w:val="004D0977"/>
    <w:rsid w:val="004D6431"/>
    <w:rsid w:val="004E0325"/>
    <w:rsid w:val="004F0117"/>
    <w:rsid w:val="004F21D6"/>
    <w:rsid w:val="004F272B"/>
    <w:rsid w:val="004F297E"/>
    <w:rsid w:val="004F5021"/>
    <w:rsid w:val="0051400D"/>
    <w:rsid w:val="0052139C"/>
    <w:rsid w:val="00522BB0"/>
    <w:rsid w:val="00533268"/>
    <w:rsid w:val="00534C7B"/>
    <w:rsid w:val="00536C5D"/>
    <w:rsid w:val="00541393"/>
    <w:rsid w:val="00541E58"/>
    <w:rsid w:val="00551BCF"/>
    <w:rsid w:val="00552689"/>
    <w:rsid w:val="00562D8E"/>
    <w:rsid w:val="0056700A"/>
    <w:rsid w:val="00570942"/>
    <w:rsid w:val="00577372"/>
    <w:rsid w:val="005B2168"/>
    <w:rsid w:val="005F3F02"/>
    <w:rsid w:val="00615C86"/>
    <w:rsid w:val="0062655C"/>
    <w:rsid w:val="00636537"/>
    <w:rsid w:val="006374B5"/>
    <w:rsid w:val="00637F18"/>
    <w:rsid w:val="00647916"/>
    <w:rsid w:val="00657C48"/>
    <w:rsid w:val="00672285"/>
    <w:rsid w:val="00675C75"/>
    <w:rsid w:val="00676A38"/>
    <w:rsid w:val="00676A69"/>
    <w:rsid w:val="006B0E06"/>
    <w:rsid w:val="00705AC1"/>
    <w:rsid w:val="007078F7"/>
    <w:rsid w:val="00711D28"/>
    <w:rsid w:val="007124B6"/>
    <w:rsid w:val="00723622"/>
    <w:rsid w:val="00725DC0"/>
    <w:rsid w:val="007447A4"/>
    <w:rsid w:val="00751696"/>
    <w:rsid w:val="00754BF8"/>
    <w:rsid w:val="00756DA3"/>
    <w:rsid w:val="007579CF"/>
    <w:rsid w:val="007608DF"/>
    <w:rsid w:val="00762CC0"/>
    <w:rsid w:val="00762E2B"/>
    <w:rsid w:val="00763088"/>
    <w:rsid w:val="00770B48"/>
    <w:rsid w:val="00773FC5"/>
    <w:rsid w:val="0077466B"/>
    <w:rsid w:val="00783583"/>
    <w:rsid w:val="00783805"/>
    <w:rsid w:val="0079396E"/>
    <w:rsid w:val="00795167"/>
    <w:rsid w:val="007A1D69"/>
    <w:rsid w:val="007A37F4"/>
    <w:rsid w:val="007A68C3"/>
    <w:rsid w:val="007B0C9A"/>
    <w:rsid w:val="007B1B2B"/>
    <w:rsid w:val="007B7623"/>
    <w:rsid w:val="007D15A3"/>
    <w:rsid w:val="007D27A4"/>
    <w:rsid w:val="007D32DE"/>
    <w:rsid w:val="007E4107"/>
    <w:rsid w:val="007F035D"/>
    <w:rsid w:val="007F6992"/>
    <w:rsid w:val="008066BB"/>
    <w:rsid w:val="00816954"/>
    <w:rsid w:val="00831D18"/>
    <w:rsid w:val="008424D0"/>
    <w:rsid w:val="0086274F"/>
    <w:rsid w:val="0086472C"/>
    <w:rsid w:val="00864E08"/>
    <w:rsid w:val="00870EC2"/>
    <w:rsid w:val="0087685B"/>
    <w:rsid w:val="00886278"/>
    <w:rsid w:val="008A4BB5"/>
    <w:rsid w:val="008A746B"/>
    <w:rsid w:val="008B1772"/>
    <w:rsid w:val="008B2C68"/>
    <w:rsid w:val="008D715E"/>
    <w:rsid w:val="008E1E69"/>
    <w:rsid w:val="008E4CE5"/>
    <w:rsid w:val="008F12E8"/>
    <w:rsid w:val="008F3743"/>
    <w:rsid w:val="008F7755"/>
    <w:rsid w:val="00900D6D"/>
    <w:rsid w:val="00906C50"/>
    <w:rsid w:val="00912174"/>
    <w:rsid w:val="00914D10"/>
    <w:rsid w:val="00925F0E"/>
    <w:rsid w:val="009358C1"/>
    <w:rsid w:val="00945E54"/>
    <w:rsid w:val="00950C2E"/>
    <w:rsid w:val="00960A36"/>
    <w:rsid w:val="00964BDE"/>
    <w:rsid w:val="00981221"/>
    <w:rsid w:val="00984E25"/>
    <w:rsid w:val="00984EBD"/>
    <w:rsid w:val="009862D7"/>
    <w:rsid w:val="009863FF"/>
    <w:rsid w:val="009A1507"/>
    <w:rsid w:val="009A4AA3"/>
    <w:rsid w:val="009C2AFA"/>
    <w:rsid w:val="009C36E3"/>
    <w:rsid w:val="009D15DB"/>
    <w:rsid w:val="009D46F0"/>
    <w:rsid w:val="009D61BE"/>
    <w:rsid w:val="009E40F6"/>
    <w:rsid w:val="009F50AB"/>
    <w:rsid w:val="009F65F9"/>
    <w:rsid w:val="00A0015D"/>
    <w:rsid w:val="00A1197D"/>
    <w:rsid w:val="00A22866"/>
    <w:rsid w:val="00A26215"/>
    <w:rsid w:val="00A4138E"/>
    <w:rsid w:val="00A57418"/>
    <w:rsid w:val="00A6258E"/>
    <w:rsid w:val="00A70102"/>
    <w:rsid w:val="00A75A81"/>
    <w:rsid w:val="00A82C36"/>
    <w:rsid w:val="00A9440C"/>
    <w:rsid w:val="00A95ABA"/>
    <w:rsid w:val="00AA3C43"/>
    <w:rsid w:val="00AA716A"/>
    <w:rsid w:val="00AB5AFE"/>
    <w:rsid w:val="00AC1464"/>
    <w:rsid w:val="00AE1438"/>
    <w:rsid w:val="00AF382F"/>
    <w:rsid w:val="00B12FBF"/>
    <w:rsid w:val="00B1416D"/>
    <w:rsid w:val="00B2262A"/>
    <w:rsid w:val="00B24DC7"/>
    <w:rsid w:val="00B27D51"/>
    <w:rsid w:val="00B36BFE"/>
    <w:rsid w:val="00B37896"/>
    <w:rsid w:val="00B37AD7"/>
    <w:rsid w:val="00B50C0F"/>
    <w:rsid w:val="00B572FE"/>
    <w:rsid w:val="00B66B55"/>
    <w:rsid w:val="00B70B3D"/>
    <w:rsid w:val="00B83A48"/>
    <w:rsid w:val="00B844EF"/>
    <w:rsid w:val="00B91E6F"/>
    <w:rsid w:val="00B939DF"/>
    <w:rsid w:val="00B9428B"/>
    <w:rsid w:val="00B945A1"/>
    <w:rsid w:val="00BA43C5"/>
    <w:rsid w:val="00BB5A7A"/>
    <w:rsid w:val="00BC48F6"/>
    <w:rsid w:val="00BD5AD5"/>
    <w:rsid w:val="00BE0798"/>
    <w:rsid w:val="00BF756C"/>
    <w:rsid w:val="00C11C7C"/>
    <w:rsid w:val="00C35CAB"/>
    <w:rsid w:val="00C463C9"/>
    <w:rsid w:val="00C62CC7"/>
    <w:rsid w:val="00C63498"/>
    <w:rsid w:val="00C63E29"/>
    <w:rsid w:val="00C6544A"/>
    <w:rsid w:val="00C80CF2"/>
    <w:rsid w:val="00C83454"/>
    <w:rsid w:val="00C84A75"/>
    <w:rsid w:val="00C91F78"/>
    <w:rsid w:val="00CA3A30"/>
    <w:rsid w:val="00CB5EAA"/>
    <w:rsid w:val="00CB676F"/>
    <w:rsid w:val="00CB7B15"/>
    <w:rsid w:val="00CC1712"/>
    <w:rsid w:val="00CC25BD"/>
    <w:rsid w:val="00CD6C0E"/>
    <w:rsid w:val="00CD75CA"/>
    <w:rsid w:val="00CE0D7A"/>
    <w:rsid w:val="00CE2038"/>
    <w:rsid w:val="00CE34CA"/>
    <w:rsid w:val="00D026A2"/>
    <w:rsid w:val="00D100C4"/>
    <w:rsid w:val="00D1356A"/>
    <w:rsid w:val="00D41E05"/>
    <w:rsid w:val="00D43604"/>
    <w:rsid w:val="00D53195"/>
    <w:rsid w:val="00D561E5"/>
    <w:rsid w:val="00D66CD1"/>
    <w:rsid w:val="00D71C2E"/>
    <w:rsid w:val="00D72B84"/>
    <w:rsid w:val="00D77C11"/>
    <w:rsid w:val="00D91B8E"/>
    <w:rsid w:val="00D922F7"/>
    <w:rsid w:val="00D929DA"/>
    <w:rsid w:val="00D94BF9"/>
    <w:rsid w:val="00D97819"/>
    <w:rsid w:val="00DA2AC9"/>
    <w:rsid w:val="00DA7865"/>
    <w:rsid w:val="00DA7B15"/>
    <w:rsid w:val="00DC500B"/>
    <w:rsid w:val="00DD2E9E"/>
    <w:rsid w:val="00DE1593"/>
    <w:rsid w:val="00DE3998"/>
    <w:rsid w:val="00DE6874"/>
    <w:rsid w:val="00DE766E"/>
    <w:rsid w:val="00DE7880"/>
    <w:rsid w:val="00DF2232"/>
    <w:rsid w:val="00DF75A7"/>
    <w:rsid w:val="00E02C10"/>
    <w:rsid w:val="00E162F3"/>
    <w:rsid w:val="00E17440"/>
    <w:rsid w:val="00E230B9"/>
    <w:rsid w:val="00E23E51"/>
    <w:rsid w:val="00E248F4"/>
    <w:rsid w:val="00E33439"/>
    <w:rsid w:val="00E36248"/>
    <w:rsid w:val="00E4433A"/>
    <w:rsid w:val="00E46875"/>
    <w:rsid w:val="00E62E8A"/>
    <w:rsid w:val="00E66826"/>
    <w:rsid w:val="00E84897"/>
    <w:rsid w:val="00E861F8"/>
    <w:rsid w:val="00E870C8"/>
    <w:rsid w:val="00E87FB5"/>
    <w:rsid w:val="00E91F26"/>
    <w:rsid w:val="00EA2ABC"/>
    <w:rsid w:val="00EA569C"/>
    <w:rsid w:val="00EB38BE"/>
    <w:rsid w:val="00EB62A9"/>
    <w:rsid w:val="00EE65E8"/>
    <w:rsid w:val="00EF1E90"/>
    <w:rsid w:val="00F01FC6"/>
    <w:rsid w:val="00F0227E"/>
    <w:rsid w:val="00F02B44"/>
    <w:rsid w:val="00F12738"/>
    <w:rsid w:val="00F13D5E"/>
    <w:rsid w:val="00F218F4"/>
    <w:rsid w:val="00F23B11"/>
    <w:rsid w:val="00F24C9A"/>
    <w:rsid w:val="00F26F3D"/>
    <w:rsid w:val="00F2764D"/>
    <w:rsid w:val="00F40A55"/>
    <w:rsid w:val="00F47BA6"/>
    <w:rsid w:val="00F56552"/>
    <w:rsid w:val="00F77FC8"/>
    <w:rsid w:val="00F800E0"/>
    <w:rsid w:val="00F83E1F"/>
    <w:rsid w:val="00F90F6B"/>
    <w:rsid w:val="00F91958"/>
    <w:rsid w:val="00FA3035"/>
    <w:rsid w:val="00FB77E2"/>
    <w:rsid w:val="00FD7D8C"/>
    <w:rsid w:val="00FF25B0"/>
    <w:rsid w:val="01A700D2"/>
    <w:rsid w:val="087D7619"/>
    <w:rsid w:val="0E952EC6"/>
    <w:rsid w:val="119F1381"/>
    <w:rsid w:val="12363828"/>
    <w:rsid w:val="192D095D"/>
    <w:rsid w:val="1FC52ED5"/>
    <w:rsid w:val="207937CB"/>
    <w:rsid w:val="23903BB3"/>
    <w:rsid w:val="26EB5741"/>
    <w:rsid w:val="28464FBE"/>
    <w:rsid w:val="316162A8"/>
    <w:rsid w:val="3A2B16D2"/>
    <w:rsid w:val="3A7636C6"/>
    <w:rsid w:val="3A896516"/>
    <w:rsid w:val="41613EC1"/>
    <w:rsid w:val="425540E0"/>
    <w:rsid w:val="4509517D"/>
    <w:rsid w:val="450D7FD0"/>
    <w:rsid w:val="46210AA3"/>
    <w:rsid w:val="47DA6D21"/>
    <w:rsid w:val="47E10E02"/>
    <w:rsid w:val="489315E3"/>
    <w:rsid w:val="4A8756D9"/>
    <w:rsid w:val="52EA09A2"/>
    <w:rsid w:val="552A30AB"/>
    <w:rsid w:val="5A6A5162"/>
    <w:rsid w:val="5B8566DA"/>
    <w:rsid w:val="5C05757B"/>
    <w:rsid w:val="600876C2"/>
    <w:rsid w:val="629A219C"/>
    <w:rsid w:val="71E14ADA"/>
    <w:rsid w:val="7D450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3"/>
    <w:next w:val="1"/>
    <w:link w:val="25"/>
    <w:qFormat/>
    <w:uiPriority w:val="9"/>
    <w:pPr>
      <w:outlineLvl w:val="0"/>
    </w:pPr>
    <w:rPr>
      <w:rFonts w:eastAsia="黑体"/>
      <w:b w:val="0"/>
    </w:rPr>
  </w:style>
  <w:style w:type="paragraph" w:styleId="3">
    <w:name w:val="heading 2"/>
    <w:basedOn w:val="4"/>
    <w:next w:val="1"/>
    <w:link w:val="26"/>
    <w:qFormat/>
    <w:uiPriority w:val="9"/>
    <w:pPr>
      <w:outlineLvl w:val="1"/>
    </w:pPr>
    <w:rPr>
      <w:rFonts w:eastAsia="楷体_GB2312"/>
    </w:rPr>
  </w:style>
  <w:style w:type="paragraph" w:styleId="4">
    <w:name w:val="heading 3"/>
    <w:basedOn w:val="1"/>
    <w:next w:val="1"/>
    <w:link w:val="27"/>
    <w:qFormat/>
    <w:uiPriority w:val="9"/>
    <w:pPr>
      <w:ind w:firstLine="643"/>
      <w:outlineLvl w:val="2"/>
    </w:pPr>
    <w:rPr>
      <w:b/>
      <w:bCs/>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6"/>
    <w:qFormat/>
    <w:uiPriority w:val="99"/>
    <w:pPr>
      <w:jc w:val="left"/>
    </w:pPr>
  </w:style>
  <w:style w:type="paragraph" w:styleId="6">
    <w:name w:val="Body Text"/>
    <w:basedOn w:val="1"/>
    <w:link w:val="34"/>
    <w:qFormat/>
    <w:uiPriority w:val="99"/>
    <w:pPr>
      <w:spacing w:after="120"/>
    </w:pPr>
  </w:style>
  <w:style w:type="paragraph" w:styleId="7">
    <w:name w:val="toc 3"/>
    <w:basedOn w:val="1"/>
    <w:next w:val="1"/>
    <w:qFormat/>
    <w:uiPriority w:val="39"/>
    <w:pPr>
      <w:ind w:left="840" w:leftChars="400"/>
    </w:pPr>
  </w:style>
  <w:style w:type="paragraph" w:styleId="8">
    <w:name w:val="Balloon Text"/>
    <w:basedOn w:val="1"/>
    <w:link w:val="35"/>
    <w:qFormat/>
    <w:uiPriority w:val="99"/>
    <w:rPr>
      <w:sz w:val="18"/>
      <w:szCs w:val="18"/>
    </w:rPr>
  </w:style>
  <w:style w:type="paragraph" w:styleId="9">
    <w:name w:val="footer"/>
    <w:basedOn w:val="1"/>
    <w:link w:val="31"/>
    <w:qFormat/>
    <w:uiPriority w:val="99"/>
    <w:pPr>
      <w:tabs>
        <w:tab w:val="center" w:pos="4153"/>
        <w:tab w:val="right" w:pos="8306"/>
      </w:tabs>
      <w:snapToGrid w:val="0"/>
      <w:jc w:val="left"/>
    </w:pPr>
    <w:rPr>
      <w:sz w:val="18"/>
      <w:szCs w:val="18"/>
    </w:rPr>
  </w:style>
  <w:style w:type="paragraph" w:styleId="10">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Subtitle"/>
    <w:basedOn w:val="1"/>
    <w:next w:val="1"/>
    <w:link w:val="29"/>
    <w:qFormat/>
    <w:uiPriority w:val="11"/>
    <w:pPr>
      <w:ind w:firstLine="0" w:firstLineChars="0"/>
      <w:jc w:val="center"/>
      <w:outlineLvl w:val="1"/>
    </w:pPr>
    <w:rPr>
      <w:rFonts w:eastAsia="楷体_GB2312"/>
      <w:b/>
      <w:bCs/>
      <w:kern w:val="28"/>
      <w:sz w:val="36"/>
      <w:szCs w:val="32"/>
    </w:rPr>
  </w:style>
  <w:style w:type="paragraph" w:styleId="13">
    <w:name w:val="footnote text"/>
    <w:basedOn w:val="1"/>
    <w:link w:val="32"/>
    <w:qFormat/>
    <w:uiPriority w:val="99"/>
    <w:pPr>
      <w:snapToGrid w:val="0"/>
      <w:jc w:val="left"/>
    </w:pPr>
    <w:rPr>
      <w:sz w:val="18"/>
      <w:szCs w:val="18"/>
    </w:rPr>
  </w:style>
  <w:style w:type="paragraph" w:styleId="14">
    <w:name w:val="toc 2"/>
    <w:basedOn w:val="1"/>
    <w:next w:val="1"/>
    <w:qFormat/>
    <w:uiPriority w:val="39"/>
    <w:pPr>
      <w:ind w:left="420" w:leftChars="200"/>
    </w:pPr>
  </w:style>
  <w:style w:type="paragraph" w:styleId="15">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link w:val="28"/>
    <w:qFormat/>
    <w:uiPriority w:val="10"/>
    <w:pPr>
      <w:ind w:firstLine="0" w:firstLineChars="0"/>
      <w:jc w:val="center"/>
      <w:outlineLvl w:val="0"/>
    </w:pPr>
    <w:rPr>
      <w:rFonts w:eastAsia="方正小标宋简体"/>
      <w:b/>
      <w:bCs/>
      <w:sz w:val="44"/>
      <w:szCs w:val="32"/>
    </w:rPr>
  </w:style>
  <w:style w:type="paragraph" w:styleId="17">
    <w:name w:val="annotation subject"/>
    <w:basedOn w:val="5"/>
    <w:next w:val="5"/>
    <w:link w:val="37"/>
    <w:qFormat/>
    <w:uiPriority w:val="99"/>
    <w:rPr>
      <w:b/>
      <w:bCs/>
    </w:rPr>
  </w:style>
  <w:style w:type="character" w:styleId="20">
    <w:name w:val="Strong"/>
    <w:basedOn w:val="19"/>
    <w:qFormat/>
    <w:uiPriority w:val="22"/>
    <w:rPr>
      <w:b/>
      <w:bCs/>
    </w:rPr>
  </w:style>
  <w:style w:type="character" w:styleId="21">
    <w:name w:val="FollowedHyperlink"/>
    <w:basedOn w:val="19"/>
    <w:semiHidden/>
    <w:unhideWhenUsed/>
    <w:qFormat/>
    <w:uiPriority w:val="0"/>
    <w:rPr>
      <w:color w:val="333333"/>
      <w:u w:val="none"/>
    </w:rPr>
  </w:style>
  <w:style w:type="character" w:styleId="22">
    <w:name w:val="Hyperlink"/>
    <w:basedOn w:val="19"/>
    <w:qFormat/>
    <w:uiPriority w:val="99"/>
    <w:rPr>
      <w:color w:val="0563C1"/>
      <w:u w:val="single"/>
    </w:rPr>
  </w:style>
  <w:style w:type="character" w:styleId="23">
    <w:name w:val="annotation reference"/>
    <w:basedOn w:val="19"/>
    <w:qFormat/>
    <w:uiPriority w:val="99"/>
    <w:rPr>
      <w:sz w:val="21"/>
      <w:szCs w:val="21"/>
    </w:rPr>
  </w:style>
  <w:style w:type="character" w:styleId="24">
    <w:name w:val="footnote reference"/>
    <w:basedOn w:val="19"/>
    <w:qFormat/>
    <w:uiPriority w:val="99"/>
    <w:rPr>
      <w:vertAlign w:val="superscript"/>
    </w:rPr>
  </w:style>
  <w:style w:type="character" w:customStyle="1" w:styleId="25">
    <w:name w:val="标题 1 Char"/>
    <w:basedOn w:val="19"/>
    <w:link w:val="2"/>
    <w:qFormat/>
    <w:uiPriority w:val="9"/>
    <w:rPr>
      <w:rFonts w:ascii="Times New Roman" w:hAnsi="Times New Roman" w:eastAsia="黑体" w:cs="Times New Roman"/>
      <w:bCs/>
      <w:sz w:val="32"/>
      <w:szCs w:val="32"/>
    </w:rPr>
  </w:style>
  <w:style w:type="character" w:customStyle="1" w:styleId="26">
    <w:name w:val="标题 2 Char"/>
    <w:basedOn w:val="19"/>
    <w:link w:val="3"/>
    <w:qFormat/>
    <w:uiPriority w:val="9"/>
    <w:rPr>
      <w:rFonts w:ascii="Times New Roman" w:hAnsi="Times New Roman" w:eastAsia="楷体_GB2312" w:cs="Times New Roman"/>
      <w:b/>
      <w:bCs/>
      <w:kern w:val="2"/>
      <w:sz w:val="32"/>
      <w:szCs w:val="32"/>
    </w:rPr>
  </w:style>
  <w:style w:type="character" w:customStyle="1" w:styleId="27">
    <w:name w:val="标题 3 Char"/>
    <w:basedOn w:val="19"/>
    <w:link w:val="4"/>
    <w:qFormat/>
    <w:uiPriority w:val="9"/>
    <w:rPr>
      <w:rFonts w:ascii="Times New Roman" w:hAnsi="Times New Roman" w:eastAsia="仿宋_GB2312" w:cs="Times New Roman"/>
      <w:b/>
      <w:bCs/>
      <w:sz w:val="32"/>
      <w:szCs w:val="32"/>
    </w:rPr>
  </w:style>
  <w:style w:type="character" w:customStyle="1" w:styleId="28">
    <w:name w:val="标题 Char"/>
    <w:basedOn w:val="19"/>
    <w:link w:val="16"/>
    <w:qFormat/>
    <w:uiPriority w:val="10"/>
    <w:rPr>
      <w:rFonts w:ascii="Times New Roman" w:hAnsi="Times New Roman" w:eastAsia="方正小标宋简体" w:cs="Times New Roman"/>
      <w:b/>
      <w:bCs/>
      <w:sz w:val="44"/>
      <w:szCs w:val="32"/>
    </w:rPr>
  </w:style>
  <w:style w:type="character" w:customStyle="1" w:styleId="29">
    <w:name w:val="副标题 Char"/>
    <w:basedOn w:val="19"/>
    <w:link w:val="12"/>
    <w:qFormat/>
    <w:uiPriority w:val="11"/>
    <w:rPr>
      <w:rFonts w:eastAsia="楷体_GB2312"/>
      <w:b/>
      <w:bCs/>
      <w:kern w:val="28"/>
      <w:sz w:val="36"/>
      <w:szCs w:val="32"/>
    </w:rPr>
  </w:style>
  <w:style w:type="character" w:customStyle="1" w:styleId="30">
    <w:name w:val="页眉 Char"/>
    <w:basedOn w:val="19"/>
    <w:link w:val="10"/>
    <w:qFormat/>
    <w:uiPriority w:val="99"/>
    <w:rPr>
      <w:rFonts w:ascii="Times New Roman" w:hAnsi="Times New Roman" w:eastAsia="仿宋_GB2312" w:cs="Times New Roman"/>
      <w:sz w:val="18"/>
      <w:szCs w:val="18"/>
    </w:rPr>
  </w:style>
  <w:style w:type="character" w:customStyle="1" w:styleId="31">
    <w:name w:val="页脚 Char"/>
    <w:basedOn w:val="19"/>
    <w:link w:val="9"/>
    <w:qFormat/>
    <w:uiPriority w:val="99"/>
    <w:rPr>
      <w:rFonts w:ascii="Times New Roman" w:hAnsi="Times New Roman" w:eastAsia="仿宋_GB2312" w:cs="Times New Roman"/>
      <w:sz w:val="18"/>
      <w:szCs w:val="18"/>
    </w:rPr>
  </w:style>
  <w:style w:type="character" w:customStyle="1" w:styleId="32">
    <w:name w:val="脚注文本 Char"/>
    <w:basedOn w:val="19"/>
    <w:link w:val="13"/>
    <w:qFormat/>
    <w:uiPriority w:val="99"/>
    <w:rPr>
      <w:rFonts w:ascii="Times New Roman" w:hAnsi="Times New Roman" w:eastAsia="仿宋_GB2312" w:cs="Times New Roman"/>
      <w:sz w:val="18"/>
      <w:szCs w:val="18"/>
    </w:rPr>
  </w:style>
  <w:style w:type="character" w:customStyle="1" w:styleId="33">
    <w:name w:val="超链接1"/>
    <w:basedOn w:val="19"/>
    <w:qFormat/>
    <w:uiPriority w:val="99"/>
    <w:rPr>
      <w:color w:val="0563C1"/>
      <w:u w:val="single"/>
    </w:rPr>
  </w:style>
  <w:style w:type="character" w:customStyle="1" w:styleId="34">
    <w:name w:val="正文文本 Char"/>
    <w:basedOn w:val="19"/>
    <w:link w:val="6"/>
    <w:qFormat/>
    <w:uiPriority w:val="99"/>
    <w:rPr>
      <w:rFonts w:ascii="Times New Roman" w:hAnsi="Times New Roman" w:eastAsia="仿宋_GB2312" w:cs="Times New Roman"/>
      <w:sz w:val="32"/>
    </w:rPr>
  </w:style>
  <w:style w:type="character" w:customStyle="1" w:styleId="35">
    <w:name w:val="批注框文本 Char"/>
    <w:basedOn w:val="19"/>
    <w:link w:val="8"/>
    <w:qFormat/>
    <w:uiPriority w:val="99"/>
    <w:rPr>
      <w:rFonts w:ascii="Times New Roman" w:hAnsi="Times New Roman" w:eastAsia="仿宋_GB2312" w:cs="Times New Roman"/>
      <w:kern w:val="2"/>
      <w:sz w:val="18"/>
      <w:szCs w:val="18"/>
    </w:rPr>
  </w:style>
  <w:style w:type="character" w:customStyle="1" w:styleId="36">
    <w:name w:val="批注文字 Char"/>
    <w:basedOn w:val="19"/>
    <w:link w:val="5"/>
    <w:qFormat/>
    <w:uiPriority w:val="99"/>
    <w:rPr>
      <w:rFonts w:ascii="Times New Roman" w:hAnsi="Times New Roman" w:eastAsia="仿宋_GB2312" w:cs="Times New Roman"/>
      <w:kern w:val="2"/>
      <w:sz w:val="32"/>
      <w:szCs w:val="22"/>
    </w:rPr>
  </w:style>
  <w:style w:type="character" w:customStyle="1" w:styleId="37">
    <w:name w:val="批注主题 Char"/>
    <w:basedOn w:val="36"/>
    <w:link w:val="17"/>
    <w:qFormat/>
    <w:uiPriority w:val="99"/>
    <w:rPr>
      <w:rFonts w:ascii="Times New Roman" w:hAnsi="Times New Roman" w:eastAsia="仿宋_GB2312" w:cs="Times New Roman"/>
      <w:b/>
      <w:bCs/>
      <w:kern w:val="2"/>
      <w:sz w:val="32"/>
      <w:szCs w:val="22"/>
    </w:rPr>
  </w:style>
  <w:style w:type="character" w:customStyle="1" w:styleId="38">
    <w:name w:val="hover21"/>
    <w:basedOn w:val="19"/>
    <w:qFormat/>
    <w:uiPriority w:val="0"/>
    <w:rPr>
      <w:shd w:val="clear" w:fill="0053A7"/>
    </w:rPr>
  </w:style>
  <w:style w:type="character" w:customStyle="1" w:styleId="39">
    <w:name w:val="fr2"/>
    <w:basedOn w:val="19"/>
    <w:uiPriority w:val="0"/>
    <w:rPr>
      <w:color w:val="818181"/>
      <w:sz w:val="21"/>
      <w:szCs w:val="21"/>
    </w:rPr>
  </w:style>
  <w:style w:type="character" w:customStyle="1" w:styleId="40">
    <w:name w:val="hover22"/>
    <w:basedOn w:val="19"/>
    <w:uiPriority w:val="0"/>
    <w:rPr>
      <w:shd w:val="clear" w:fill="0053A7"/>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9ED2EA-123D-404D-8CA4-E41F17A032EA}">
  <ds:schemaRefs/>
</ds:datastoreItem>
</file>

<file path=docProps/app.xml><?xml version="1.0" encoding="utf-8"?>
<Properties xmlns="http://schemas.openxmlformats.org/officeDocument/2006/extended-properties" xmlns:vt="http://schemas.openxmlformats.org/officeDocument/2006/docPropsVTypes">
  <Template>Normal</Template>
  <Pages>43</Pages>
  <Words>2759</Words>
  <Characters>15729</Characters>
  <Lines>131</Lines>
  <Paragraphs>36</Paragraphs>
  <TotalTime>140</TotalTime>
  <ScaleCrop>false</ScaleCrop>
  <LinksUpToDate>false</LinksUpToDate>
  <CharactersWithSpaces>18452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2021-03-16T03:33:00Z</dcterms:created>
  <dc:creator>lenovo</dc:creator>
  <cp:lastModifiedBy>Administrator</cp:lastModifiedBy>
  <cp:lastPrinted>2021-05-08T03:35:00Z</cp:lastPrinted>
  <dcterms:modified xsi:type="dcterms:W3CDTF">2021-06-23T08:45:21Z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_DocHome">
    <vt:i4>-1529877004</vt:i4>
  </property>
  <property fmtid="{D5CDD505-2E9C-101B-9397-08002B2CF9AE}" pid="4" name="ICV">
    <vt:lpwstr>A312C5DDE4BB44F3A44CA9F4A4D83DC8</vt:lpwstr>
  </property>
</Properties>
</file>