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7B" w:rsidRDefault="0074049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东丽区教育局等三部门关于印发《东丽区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青</w:t>
      </w:r>
    </w:p>
    <w:p w:rsidR="00D32C7B" w:rsidRDefault="0074049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少年法治教育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工作站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建设方案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》的通知</w:t>
      </w:r>
    </w:p>
    <w:bookmarkEnd w:id="0"/>
    <w:p w:rsidR="00D32C7B" w:rsidRDefault="00D32C7B">
      <w:pPr>
        <w:spacing w:line="560" w:lineRule="exact"/>
        <w:rPr>
          <w:rFonts w:ascii="仿宋_GB2312" w:hAnsi="仿宋_GB2312"/>
        </w:rPr>
      </w:pPr>
    </w:p>
    <w:p w:rsidR="00D32C7B" w:rsidRDefault="00740494">
      <w:pPr>
        <w:spacing w:line="560" w:lineRule="exact"/>
        <w:rPr>
          <w:rFonts w:ascii="仿宋_GB2312" w:hAnsi="仿宋_GB2312"/>
        </w:rPr>
      </w:pPr>
      <w:r>
        <w:rPr>
          <w:rFonts w:ascii="仿宋_GB2312" w:hAnsi="仿宋_GB2312" w:hint="eastAsia"/>
        </w:rPr>
        <w:t>各相关单位：</w:t>
      </w:r>
    </w:p>
    <w:p w:rsidR="00D32C7B" w:rsidRDefault="00740494">
      <w:pPr>
        <w:pStyle w:val="a3"/>
        <w:spacing w:after="0" w:line="560" w:lineRule="exact"/>
        <w:ind w:firstLineChars="200" w:firstLine="640"/>
      </w:pPr>
      <w:r>
        <w:rPr>
          <w:rFonts w:ascii="仿宋_GB2312" w:hAnsi="仿宋_GB2312" w:hint="eastAsia"/>
        </w:rPr>
        <w:t>为进一步贯彻落实“八五”普法要求，强化对未成年人行为的约束，保障青少年健康成长</w:t>
      </w:r>
      <w:r>
        <w:rPr>
          <w:rFonts w:ascii="仿宋_GB2312" w:hAnsi="仿宋_GB2312" w:hint="eastAsia"/>
        </w:rPr>
        <w:t>,</w:t>
      </w:r>
      <w:r>
        <w:rPr>
          <w:rFonts w:ascii="仿宋_GB2312" w:hAnsi="仿宋_GB2312" w:hint="eastAsia"/>
        </w:rPr>
        <w:t>构建和谐校园，提高广大青少年学生的法律意识和</w:t>
      </w:r>
      <w:r>
        <w:rPr>
          <w:rFonts w:ascii="仿宋_GB2312" w:hAnsi="仿宋_GB2312" w:hint="eastAsia"/>
        </w:rPr>
        <w:t>法治</w:t>
      </w:r>
      <w:r>
        <w:rPr>
          <w:rFonts w:ascii="仿宋_GB2312" w:hAnsi="仿宋_GB2312" w:hint="eastAsia"/>
        </w:rPr>
        <w:t>观念，将处于萌芽阶段的霸凌现象遏制在摇篮中。现将《东丽区青少年法治教育工作站建设方案》的通知印发给你们，请结合实际认真组织实施。</w:t>
      </w:r>
    </w:p>
    <w:p w:rsidR="00D32C7B" w:rsidRDefault="00D32C7B">
      <w:pPr>
        <w:pStyle w:val="a3"/>
        <w:spacing w:after="0" w:line="560" w:lineRule="exact"/>
      </w:pPr>
    </w:p>
    <w:p w:rsidR="00D32C7B" w:rsidRDefault="00D32C7B">
      <w:pPr>
        <w:pStyle w:val="a3"/>
        <w:spacing w:after="0" w:line="560" w:lineRule="exact"/>
        <w:ind w:firstLineChars="300" w:firstLine="960"/>
      </w:pPr>
    </w:p>
    <w:p w:rsidR="00D32C7B" w:rsidRDefault="00D32C7B">
      <w:pPr>
        <w:pStyle w:val="a3"/>
        <w:spacing w:after="0" w:line="560" w:lineRule="exact"/>
        <w:ind w:firstLineChars="300" w:firstLine="960"/>
      </w:pPr>
    </w:p>
    <w:p w:rsidR="00D32C7B" w:rsidRDefault="00D32C7B">
      <w:pPr>
        <w:pStyle w:val="a3"/>
        <w:spacing w:after="0" w:line="560" w:lineRule="exact"/>
        <w:ind w:firstLineChars="300" w:firstLine="960"/>
      </w:pPr>
    </w:p>
    <w:p w:rsidR="00D32C7B" w:rsidRDefault="00740494">
      <w:pPr>
        <w:pStyle w:val="a3"/>
        <w:spacing w:after="0" w:line="560" w:lineRule="exact"/>
        <w:ind w:firstLineChars="300" w:firstLine="960"/>
        <w:jc w:val="right"/>
      </w:pPr>
      <w:r>
        <w:rPr>
          <w:rFonts w:hint="eastAsia"/>
        </w:rPr>
        <w:t>天津市东丽区教育局</w:t>
      </w:r>
      <w:r>
        <w:rPr>
          <w:rFonts w:hint="eastAsia"/>
        </w:rPr>
        <w:t xml:space="preserve">                 </w:t>
      </w:r>
    </w:p>
    <w:p w:rsidR="00D32C7B" w:rsidRDefault="00740494">
      <w:pPr>
        <w:pStyle w:val="a3"/>
        <w:spacing w:after="0" w:line="560" w:lineRule="exact"/>
        <w:ind w:firstLineChars="300" w:firstLine="960"/>
        <w:jc w:val="right"/>
      </w:pPr>
      <w:r>
        <w:rPr>
          <w:rFonts w:hint="eastAsia"/>
        </w:rPr>
        <w:t xml:space="preserve">     </w:t>
      </w:r>
      <w:r>
        <w:rPr>
          <w:rFonts w:hint="eastAsia"/>
        </w:rPr>
        <w:t>天津市东丽区司法局</w:t>
      </w:r>
    </w:p>
    <w:p w:rsidR="00D32C7B" w:rsidRDefault="00740494">
      <w:pPr>
        <w:pStyle w:val="a3"/>
        <w:spacing w:after="0" w:line="560" w:lineRule="exact"/>
        <w:jc w:val="right"/>
      </w:pPr>
      <w:r>
        <w:rPr>
          <w:rFonts w:hint="eastAsia"/>
        </w:rPr>
        <w:t>天津市东丽区普及法律常识办公室</w:t>
      </w:r>
      <w:r>
        <w:rPr>
          <w:rFonts w:hint="eastAsia"/>
        </w:rPr>
        <w:t xml:space="preserve">          </w:t>
      </w:r>
    </w:p>
    <w:p w:rsidR="00D32C7B" w:rsidRDefault="00740494">
      <w:pPr>
        <w:pStyle w:val="a3"/>
        <w:spacing w:after="0" w:line="560" w:lineRule="exact"/>
        <w:ind w:firstLineChars="200" w:firstLine="640"/>
      </w:pPr>
      <w:r>
        <w:rPr>
          <w:rFonts w:hint="eastAsia"/>
        </w:rPr>
        <w:t xml:space="preserve">                             </w:t>
      </w:r>
    </w:p>
    <w:p w:rsidR="00D32C7B" w:rsidRDefault="00D32C7B">
      <w:pPr>
        <w:pStyle w:val="a3"/>
        <w:spacing w:after="0" w:line="560" w:lineRule="exact"/>
        <w:ind w:firstLineChars="200" w:firstLine="640"/>
      </w:pPr>
    </w:p>
    <w:p w:rsidR="00D32C7B" w:rsidRDefault="00740494">
      <w:pPr>
        <w:pStyle w:val="a3"/>
        <w:spacing w:after="0" w:line="560" w:lineRule="exact"/>
        <w:ind w:firstLineChars="1600" w:firstLine="5120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:rsidR="00D32C7B" w:rsidRDefault="00D32C7B">
      <w:pPr>
        <w:pStyle w:val="a3"/>
        <w:spacing w:after="0" w:line="560" w:lineRule="exact"/>
        <w:ind w:firstLineChars="200" w:firstLine="640"/>
      </w:pPr>
    </w:p>
    <w:p w:rsidR="00D32C7B" w:rsidRDefault="00D32C7B" w:rsidP="001938E5">
      <w:pPr>
        <w:pStyle w:val="NormalIndent"/>
        <w:ind w:firstLine="640"/>
        <w:rPr>
          <w:rFonts w:ascii="仿宋_GB2312" w:eastAsia="仿宋_GB2312" w:hAnsi="仿宋_GB2312"/>
          <w:sz w:val="32"/>
          <w:szCs w:val="32"/>
        </w:rPr>
      </w:pPr>
    </w:p>
    <w:p w:rsidR="00D32C7B" w:rsidRDefault="00D32C7B" w:rsidP="001938E5">
      <w:pPr>
        <w:pStyle w:val="NormalIndent"/>
        <w:ind w:firstLine="480"/>
      </w:pPr>
    </w:p>
    <w:p w:rsidR="00D32C7B" w:rsidRDefault="00D32C7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32C7B" w:rsidRDefault="00D32C7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32C7B" w:rsidRDefault="00D32C7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32C7B" w:rsidRDefault="00D32C7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32C7B" w:rsidRDefault="00D32C7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32C7B" w:rsidRDefault="0074049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东丽区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青少年法治教育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工作站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建设方案</w:t>
      </w:r>
    </w:p>
    <w:p w:rsidR="00D32C7B" w:rsidRDefault="00D32C7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32C7B" w:rsidRDefault="00740494">
      <w:pPr>
        <w:spacing w:line="540" w:lineRule="exact"/>
        <w:ind w:firstLineChars="200" w:firstLine="640"/>
      </w:pPr>
      <w:r>
        <w:rPr>
          <w:rFonts w:hint="eastAsia"/>
        </w:rPr>
        <w:t>为深入贯彻落实习近平新时代中国特色社会主义思想和党的</w:t>
      </w:r>
      <w:r>
        <w:rPr>
          <w:rFonts w:hint="eastAsia"/>
        </w:rPr>
        <w:t>二十</w:t>
      </w:r>
      <w:r>
        <w:rPr>
          <w:rFonts w:hint="eastAsia"/>
        </w:rPr>
        <w:t>大、</w:t>
      </w:r>
      <w:r>
        <w:rPr>
          <w:rFonts w:hint="eastAsia"/>
        </w:rPr>
        <w:t>二十</w:t>
      </w:r>
      <w:r>
        <w:rPr>
          <w:rFonts w:hint="eastAsia"/>
        </w:rPr>
        <w:t>届</w:t>
      </w:r>
      <w:r w:rsidR="001938E5" w:rsidRPr="001938E5">
        <w:rPr>
          <w:rFonts w:hint="eastAsia"/>
        </w:rPr>
        <w:t>二中</w:t>
      </w:r>
      <w:r>
        <w:rPr>
          <w:rFonts w:hint="eastAsia"/>
        </w:rPr>
        <w:t>全会精神</w:t>
      </w:r>
      <w:r>
        <w:rPr>
          <w:rFonts w:hint="eastAsia"/>
        </w:rPr>
        <w:t>，</w:t>
      </w:r>
      <w:r>
        <w:rPr>
          <w:rFonts w:hint="eastAsia"/>
        </w:rPr>
        <w:t>全面落实“八五”普法规划，</w:t>
      </w:r>
      <w:r>
        <w:rPr>
          <w:rFonts w:hint="eastAsia"/>
        </w:rPr>
        <w:t>将法治教育纳入国民教育体系，丰富和创新青少年法治教育载体，根据《教育部等七部门关于加强青少年法治教育</w:t>
      </w:r>
      <w:r>
        <w:rPr>
          <w:rFonts w:hint="eastAsia"/>
        </w:rPr>
        <w:t>工作站</w:t>
      </w:r>
      <w:r>
        <w:rPr>
          <w:rFonts w:hint="eastAsia"/>
        </w:rPr>
        <w:t>建设的意见》（教政法</w:t>
      </w:r>
      <w:r>
        <w:rPr>
          <w:rFonts w:hint="eastAsia"/>
        </w:rPr>
        <w:t>〔</w:t>
      </w:r>
      <w:r>
        <w:t>2</w:t>
      </w:r>
      <w:r>
        <w:rPr>
          <w:rFonts w:hint="eastAsia"/>
        </w:rPr>
        <w:t>0</w:t>
      </w:r>
      <w:r>
        <w:rPr>
          <w:lang w:val="en"/>
        </w:rPr>
        <w:t>16</w:t>
      </w:r>
      <w:r>
        <w:rPr>
          <w:rFonts w:hint="eastAsia"/>
        </w:rPr>
        <w:t>〕</w:t>
      </w:r>
      <w:r>
        <w:rPr>
          <w:rFonts w:hint="eastAsia"/>
        </w:rPr>
        <w:t>16</w:t>
      </w:r>
      <w:r>
        <w:rPr>
          <w:rFonts w:hint="eastAsia"/>
        </w:rPr>
        <w:t>号）精神，结合实际，特制订本建设方案。</w:t>
      </w:r>
    </w:p>
    <w:p w:rsidR="00D32C7B" w:rsidRDefault="00740494">
      <w:pPr>
        <w:spacing w:line="54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一、指导思想</w:t>
      </w:r>
    </w:p>
    <w:p w:rsidR="00D32C7B" w:rsidRDefault="00740494">
      <w:pPr>
        <w:spacing w:line="540" w:lineRule="exact"/>
        <w:ind w:firstLineChars="200" w:firstLine="640"/>
      </w:pPr>
      <w:r>
        <w:rPr>
          <w:rFonts w:hint="eastAsia"/>
        </w:rPr>
        <w:t>以习近平新时代中国特色社会主义思想和党的</w:t>
      </w:r>
      <w:r>
        <w:rPr>
          <w:rFonts w:hint="eastAsia"/>
        </w:rPr>
        <w:t>二十</w:t>
      </w:r>
      <w:r>
        <w:rPr>
          <w:rFonts w:hint="eastAsia"/>
        </w:rPr>
        <w:t>大、</w:t>
      </w:r>
      <w:r>
        <w:rPr>
          <w:rFonts w:hint="eastAsia"/>
        </w:rPr>
        <w:t>二十</w:t>
      </w:r>
      <w:r>
        <w:rPr>
          <w:rFonts w:hint="eastAsia"/>
        </w:rPr>
        <w:t>届</w:t>
      </w:r>
      <w:bookmarkStart w:id="1" w:name="OLE_LINK1"/>
      <w:bookmarkStart w:id="2" w:name="OLE_LINK2"/>
      <w:r>
        <w:rPr>
          <w:rFonts w:hint="eastAsia"/>
        </w:rPr>
        <w:t>二中</w:t>
      </w:r>
      <w:bookmarkEnd w:id="1"/>
      <w:bookmarkEnd w:id="2"/>
      <w:r>
        <w:rPr>
          <w:rFonts w:hint="eastAsia"/>
        </w:rPr>
        <w:t>全会精神为指导，落实全面依法治国战略布局，深入推进青少年法治教育，遵循教育规律，统筹协调，广泛开展中小学法治实践活动，提高青少年学生的法治意识和法律素质。</w:t>
      </w:r>
    </w:p>
    <w:p w:rsidR="00D32C7B" w:rsidRDefault="00740494">
      <w:pPr>
        <w:spacing w:line="540" w:lineRule="exact"/>
        <w:ind w:firstLineChars="200" w:firstLine="640"/>
      </w:pPr>
      <w:r>
        <w:rPr>
          <w:rFonts w:ascii="黑体" w:eastAsia="黑体" w:hAnsi="黑体" w:cs="黑体" w:hint="eastAsia"/>
        </w:rPr>
        <w:t>二、目的意义</w:t>
      </w:r>
    </w:p>
    <w:p w:rsidR="00D32C7B" w:rsidRDefault="00740494">
      <w:pPr>
        <w:spacing w:line="540" w:lineRule="exact"/>
        <w:ind w:firstLineChars="200" w:firstLine="640"/>
      </w:pPr>
      <w:r>
        <w:rPr>
          <w:rFonts w:hint="eastAsia"/>
        </w:rPr>
        <w:t>加强青少年法治教育，是全面推进依法治国、加快建设社会主义法治国家的基础工程，是贯彻党的教育方针、落实立德树人根本任务、培养德智体美劳全面发展的社会主义建设者和接班人的客观要求。针对当前学校法治教育存在的法律知识传授为主、教学模式单一、教育资源不足等问题，充分利用校内外教育资源，形成以法治观念养成为中心，实践教学、探究学习等多种模式相结合的法</w:t>
      </w:r>
      <w:r>
        <w:rPr>
          <w:rFonts w:hint="eastAsia"/>
        </w:rPr>
        <w:t>治教育格局，提高法治教育的针对性和实效性。加强青少年法治教育</w:t>
      </w:r>
      <w:r>
        <w:rPr>
          <w:rFonts w:hint="eastAsia"/>
        </w:rPr>
        <w:t>工作站</w:t>
      </w:r>
      <w:r>
        <w:rPr>
          <w:rFonts w:hint="eastAsia"/>
        </w:rPr>
        <w:t>建设，</w:t>
      </w:r>
      <w:r>
        <w:rPr>
          <w:rFonts w:hint="eastAsia"/>
        </w:rPr>
        <w:lastRenderedPageBreak/>
        <w:t>是适应青少年法治教育目标要求变化，创新、完善青少年法治教育体制机制、方式方法的重要举措，是整合社会法治教育资源，推进法治教育与法治实践相结合，构建学校、社会、家庭三位一体的青少年法治教育体系的重要途径和有效载体。各中小学要高度重视，把</w:t>
      </w:r>
      <w:r>
        <w:rPr>
          <w:rFonts w:hint="eastAsia"/>
        </w:rPr>
        <w:t>工作站</w:t>
      </w:r>
      <w:r>
        <w:rPr>
          <w:rFonts w:hint="eastAsia"/>
        </w:rPr>
        <w:t>建设作为深入推进青少年法治教育的重要任务，依托</w:t>
      </w:r>
      <w:r>
        <w:rPr>
          <w:rFonts w:hint="eastAsia"/>
        </w:rPr>
        <w:t>工作站</w:t>
      </w:r>
      <w:r>
        <w:rPr>
          <w:rFonts w:hint="eastAsia"/>
        </w:rPr>
        <w:t>广泛开展多样化的法治实践教育，使其成为青少年法治教育的重要方式，切实提高广大青少年学生的法治意识和法律素质。</w:t>
      </w:r>
    </w:p>
    <w:p w:rsidR="00D32C7B" w:rsidRDefault="00740494">
      <w:pPr>
        <w:spacing w:line="540" w:lineRule="exact"/>
        <w:ind w:firstLineChars="200" w:firstLine="640"/>
      </w:pPr>
      <w:r>
        <w:rPr>
          <w:rFonts w:ascii="黑体" w:eastAsia="黑体" w:hAnsi="黑体" w:cs="黑体" w:hint="eastAsia"/>
        </w:rPr>
        <w:t>三、工作目标</w:t>
      </w:r>
    </w:p>
    <w:p w:rsidR="00D32C7B" w:rsidRDefault="00740494">
      <w:pPr>
        <w:spacing w:line="540" w:lineRule="exact"/>
        <w:ind w:firstLineChars="200" w:firstLine="640"/>
      </w:pPr>
      <w:r>
        <w:rPr>
          <w:rFonts w:hint="eastAsia"/>
        </w:rPr>
        <w:t>通过法治教育</w:t>
      </w:r>
      <w:r>
        <w:rPr>
          <w:rFonts w:hint="eastAsia"/>
        </w:rPr>
        <w:t>工作站</w:t>
      </w:r>
      <w:r>
        <w:rPr>
          <w:rFonts w:hint="eastAsia"/>
        </w:rPr>
        <w:t>创建工</w:t>
      </w:r>
      <w:r>
        <w:rPr>
          <w:rFonts w:hint="eastAsia"/>
        </w:rPr>
        <w:t>作的开展，不断探索和实践符合青少年认知特点、服务青少年成长成才的法治教育经验，充分发挥</w:t>
      </w:r>
      <w:r>
        <w:rPr>
          <w:rFonts w:hint="eastAsia"/>
        </w:rPr>
        <w:t>工作站</w:t>
      </w:r>
      <w:r>
        <w:rPr>
          <w:rFonts w:hint="eastAsia"/>
        </w:rPr>
        <w:t>的示范和辐射作用，</w:t>
      </w:r>
      <w:r>
        <w:rPr>
          <w:rFonts w:hint="eastAsia"/>
        </w:rPr>
        <w:t>拟定</w:t>
      </w:r>
      <w:r>
        <w:rPr>
          <w:rFonts w:hint="eastAsia"/>
        </w:rPr>
        <w:t>2023</w:t>
      </w:r>
      <w:r>
        <w:rPr>
          <w:rFonts w:hint="eastAsia"/>
        </w:rPr>
        <w:t>年底前建立</w:t>
      </w:r>
      <w:r>
        <w:rPr>
          <w:rFonts w:hint="eastAsia"/>
        </w:rPr>
        <w:t>22</w:t>
      </w:r>
      <w:r>
        <w:rPr>
          <w:rFonts w:hint="eastAsia"/>
        </w:rPr>
        <w:t>个</w:t>
      </w:r>
      <w:r>
        <w:rPr>
          <w:rFonts w:hint="eastAsia"/>
        </w:rPr>
        <w:t>青少年法治宣传教育</w:t>
      </w:r>
      <w:r>
        <w:rPr>
          <w:rFonts w:hint="eastAsia"/>
        </w:rPr>
        <w:t>工作站试点，</w:t>
      </w:r>
      <w:r>
        <w:rPr>
          <w:rFonts w:hint="eastAsia"/>
        </w:rPr>
        <w:t>逐步实现各中小学校法治教育</w:t>
      </w:r>
      <w:r>
        <w:rPr>
          <w:rFonts w:hint="eastAsia"/>
        </w:rPr>
        <w:t>工作站</w:t>
      </w:r>
      <w:r>
        <w:rPr>
          <w:rFonts w:hint="eastAsia"/>
        </w:rPr>
        <w:t>全覆盖。</w:t>
      </w:r>
    </w:p>
    <w:p w:rsidR="00D32C7B" w:rsidRDefault="00740494">
      <w:pPr>
        <w:spacing w:line="54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</w:t>
      </w:r>
      <w:r>
        <w:rPr>
          <w:rFonts w:ascii="黑体" w:eastAsia="黑体" w:hAnsi="黑体" w:cs="黑体" w:hint="eastAsia"/>
        </w:rPr>
        <w:t>建设</w:t>
      </w:r>
      <w:r>
        <w:rPr>
          <w:rFonts w:ascii="黑体" w:eastAsia="黑体" w:hAnsi="黑体" w:cs="黑体" w:hint="eastAsia"/>
        </w:rPr>
        <w:t>标准</w:t>
      </w:r>
    </w:p>
    <w:p w:rsidR="00D32C7B" w:rsidRDefault="00740494">
      <w:pPr>
        <w:spacing w:line="540" w:lineRule="exact"/>
        <w:ind w:firstLineChars="200" w:firstLine="640"/>
      </w:pPr>
      <w:r>
        <w:rPr>
          <w:rFonts w:ascii="楷体_GB2312" w:eastAsia="楷体_GB2312" w:hAnsi="楷体_GB2312" w:cs="楷体_GB2312" w:hint="eastAsia"/>
        </w:rPr>
        <w:t>（一）法治宣传教育组织健全。</w:t>
      </w:r>
      <w:r>
        <w:rPr>
          <w:rFonts w:hint="eastAsia"/>
        </w:rPr>
        <w:t>建立领导</w:t>
      </w:r>
      <w:r>
        <w:rPr>
          <w:rFonts w:hint="eastAsia"/>
        </w:rPr>
        <w:t>小组</w:t>
      </w:r>
      <w:r>
        <w:rPr>
          <w:rFonts w:hint="eastAsia"/>
        </w:rPr>
        <w:t>和工作机构，配备专（兼）职工作人员，明确分工，落实责任。</w:t>
      </w:r>
    </w:p>
    <w:p w:rsidR="00D32C7B" w:rsidRDefault="00740494">
      <w:pPr>
        <w:spacing w:line="540" w:lineRule="exact"/>
        <w:ind w:firstLineChars="200" w:firstLine="640"/>
      </w:pPr>
      <w:r>
        <w:rPr>
          <w:rFonts w:ascii="楷体_GB2312" w:eastAsia="楷体_GB2312" w:hAnsi="楷体_GB2312" w:cs="楷体_GB2312" w:hint="eastAsia"/>
        </w:rPr>
        <w:t>（二）法治宣传教育阵地建立。</w:t>
      </w:r>
      <w:r>
        <w:rPr>
          <w:rFonts w:hint="eastAsia"/>
        </w:rPr>
        <w:t>设立法治宣传教育活动场所，</w:t>
      </w:r>
      <w:r>
        <w:rPr>
          <w:rFonts w:hint="eastAsia"/>
        </w:rPr>
        <w:t>并挂牌。</w:t>
      </w:r>
      <w:r>
        <w:rPr>
          <w:rFonts w:hint="eastAsia"/>
        </w:rPr>
        <w:t>配备较为完善的法治宣传教育设施，确保一次性可容纳</w:t>
      </w:r>
      <w:r>
        <w:rPr>
          <w:rFonts w:hint="eastAsia"/>
        </w:rPr>
        <w:t>30</w:t>
      </w:r>
      <w:r>
        <w:rPr>
          <w:rFonts w:hint="eastAsia"/>
        </w:rPr>
        <w:t>人以上。及时</w:t>
      </w:r>
      <w:r>
        <w:rPr>
          <w:rFonts w:hint="eastAsia"/>
        </w:rPr>
        <w:t>制定法治工作站</w:t>
      </w:r>
      <w:r>
        <w:rPr>
          <w:rFonts w:hint="eastAsia"/>
        </w:rPr>
        <w:t>建设总体规划和年度计划，建立健全</w:t>
      </w:r>
      <w:r>
        <w:rPr>
          <w:rFonts w:hint="eastAsia"/>
        </w:rPr>
        <w:t>工作站</w:t>
      </w:r>
      <w:r>
        <w:rPr>
          <w:rFonts w:hint="eastAsia"/>
        </w:rPr>
        <w:t>各项日常管理</w:t>
      </w:r>
      <w:r>
        <w:rPr>
          <w:rFonts w:hint="eastAsia"/>
        </w:rPr>
        <w:t>制度，完善台账资料，做到年初有计划、活动有记录、年终有总结。</w:t>
      </w:r>
    </w:p>
    <w:p w:rsidR="00D32C7B" w:rsidRDefault="00740494">
      <w:pPr>
        <w:spacing w:line="540" w:lineRule="exact"/>
        <w:ind w:firstLineChars="200" w:firstLine="640"/>
        <w:rPr>
          <w:rFonts w:cs="Times New Roman"/>
        </w:rPr>
      </w:pPr>
      <w:r>
        <w:rPr>
          <w:rFonts w:ascii="楷体_GB2312" w:eastAsia="楷体_GB2312" w:hAnsi="楷体_GB2312" w:cs="楷体_GB2312" w:hint="eastAsia"/>
        </w:rPr>
        <w:t>（三）法治宣传教育内容充实。</w:t>
      </w:r>
      <w:r>
        <w:rPr>
          <w:rFonts w:hint="eastAsia"/>
        </w:rPr>
        <w:t>工作站</w:t>
      </w:r>
      <w:r>
        <w:rPr>
          <w:rFonts w:hint="eastAsia"/>
        </w:rPr>
        <w:t>使用好法治教育的地方教材，支持学校研发校本教材。能够通过图片展播、动漫演示、多媒体教学、辅导讲座、实物展览等多种方式，</w:t>
      </w:r>
      <w:r>
        <w:rPr>
          <w:rFonts w:hint="eastAsia"/>
        </w:rPr>
        <w:lastRenderedPageBreak/>
        <w:t>展示形式多样的法治宣传教育资料，并及时予以更新（可参考教育部全国青少年普法网</w:t>
      </w:r>
      <w:r>
        <w:rPr>
          <w:rFonts w:cs="Times New Roman"/>
        </w:rPr>
        <w:t>http</w:t>
      </w:r>
      <w:r>
        <w:rPr>
          <w:rFonts w:cs="Times New Roman" w:hint="eastAsia"/>
        </w:rPr>
        <w:t>:</w:t>
      </w:r>
      <w:r>
        <w:rPr>
          <w:rFonts w:cs="Times New Roman"/>
        </w:rPr>
        <w:t>//qspfw</w:t>
      </w:r>
      <w:r>
        <w:rPr>
          <w:rFonts w:cs="Times New Roman" w:hint="eastAsia"/>
        </w:rPr>
        <w:t>.</w:t>
      </w:r>
      <w:r>
        <w:rPr>
          <w:rFonts w:cs="Times New Roman"/>
        </w:rPr>
        <w:t>moe</w:t>
      </w:r>
      <w:r>
        <w:rPr>
          <w:rFonts w:cs="Times New Roman" w:hint="eastAsia"/>
        </w:rPr>
        <w:t>.</w:t>
      </w:r>
      <w:r>
        <w:rPr>
          <w:rFonts w:cs="Times New Roman"/>
        </w:rPr>
        <w:t>gov</w:t>
      </w:r>
      <w:r>
        <w:rPr>
          <w:rFonts w:cs="Times New Roman" w:hint="eastAsia"/>
        </w:rPr>
        <w:t>.</w:t>
      </w:r>
      <w:r>
        <w:rPr>
          <w:rFonts w:cs="Times New Roman"/>
        </w:rPr>
        <w:t>cn/</w:t>
      </w:r>
      <w:r>
        <w:rPr>
          <w:rFonts w:cs="Times New Roman"/>
        </w:rPr>
        <w:t>；中国普法网</w:t>
      </w:r>
      <w:r>
        <w:rPr>
          <w:rFonts w:cs="Times New Roman"/>
        </w:rPr>
        <w:t>http</w:t>
      </w:r>
      <w:r>
        <w:rPr>
          <w:rFonts w:cs="Times New Roman" w:hint="eastAsia"/>
        </w:rPr>
        <w:t>:</w:t>
      </w:r>
      <w:r>
        <w:rPr>
          <w:rFonts w:cs="Times New Roman"/>
        </w:rPr>
        <w:t>//www</w:t>
      </w:r>
      <w:r>
        <w:rPr>
          <w:rFonts w:cs="Times New Roman" w:hint="eastAsia"/>
        </w:rPr>
        <w:t>.</w:t>
      </w:r>
      <w:r>
        <w:rPr>
          <w:rFonts w:cs="Times New Roman"/>
        </w:rPr>
        <w:t>legalinfo</w:t>
      </w:r>
      <w:r>
        <w:rPr>
          <w:rFonts w:cs="Times New Roman" w:hint="eastAsia"/>
        </w:rPr>
        <w:t>.</w:t>
      </w:r>
      <w:r>
        <w:rPr>
          <w:rFonts w:cs="Times New Roman"/>
        </w:rPr>
        <w:t>gov</w:t>
      </w:r>
      <w:r>
        <w:rPr>
          <w:rFonts w:cs="Times New Roman" w:hint="eastAsia"/>
        </w:rPr>
        <w:t>.</w:t>
      </w:r>
      <w:r>
        <w:rPr>
          <w:rFonts w:cs="Times New Roman"/>
        </w:rPr>
        <w:t>cn</w:t>
      </w:r>
      <w:r>
        <w:rPr>
          <w:rFonts w:cs="Times New Roman"/>
        </w:rPr>
        <w:t>）。</w:t>
      </w:r>
    </w:p>
    <w:p w:rsidR="00D32C7B" w:rsidRDefault="00740494">
      <w:pPr>
        <w:spacing w:line="540" w:lineRule="exact"/>
        <w:ind w:firstLineChars="200" w:firstLine="640"/>
      </w:pPr>
      <w:r>
        <w:rPr>
          <w:rFonts w:ascii="楷体_GB2312" w:eastAsia="楷体_GB2312" w:hAnsi="楷体_GB2312" w:cs="楷体_GB2312" w:hint="eastAsia"/>
        </w:rPr>
        <w:t>（四）法治宣传教育活动丰富。</w:t>
      </w:r>
      <w:r>
        <w:rPr>
          <w:rFonts w:hint="eastAsia"/>
        </w:rPr>
        <w:t>定期</w:t>
      </w:r>
      <w:r>
        <w:rPr>
          <w:rFonts w:hint="eastAsia"/>
        </w:rPr>
        <w:t>组织开展各类法治宣传教育活动。将法律知识教育纳入学校法治教育的总体计划，统筹安排法治宣传教育的内容和时间。充分发挥学校法治副校长、法律顾问的作用，用适合青少年特点的、喜闻乐见的方式讲解法律</w:t>
      </w:r>
      <w:r>
        <w:rPr>
          <w:rFonts w:hint="eastAsia"/>
        </w:rPr>
        <w:t>；</w:t>
      </w:r>
      <w:r>
        <w:rPr>
          <w:rFonts w:hint="eastAsia"/>
        </w:rPr>
        <w:t>组织开展法治课优秀教案评选</w:t>
      </w:r>
      <w:r>
        <w:rPr>
          <w:rFonts w:hint="eastAsia"/>
        </w:rPr>
        <w:t>，</w:t>
      </w:r>
      <w:r>
        <w:rPr>
          <w:rFonts w:hint="eastAsia"/>
        </w:rPr>
        <w:t>有效开展新媒体教学、征文比赛、知识竞赛、演讲比赛等丰富多彩的</w:t>
      </w:r>
      <w:r>
        <w:rPr>
          <w:rFonts w:hint="eastAsia"/>
        </w:rPr>
        <w:t>法治实践教育</w:t>
      </w:r>
      <w:r>
        <w:rPr>
          <w:rFonts w:hint="eastAsia"/>
        </w:rPr>
        <w:t>活动，使青少年在亲身实践中学习法律知识，在潜移默化中接受法治教育。</w:t>
      </w:r>
    </w:p>
    <w:p w:rsidR="00D32C7B" w:rsidRDefault="00740494">
      <w:pPr>
        <w:spacing w:line="540" w:lineRule="exact"/>
        <w:ind w:firstLineChars="200" w:firstLine="640"/>
      </w:pPr>
      <w:r>
        <w:rPr>
          <w:rFonts w:ascii="楷体_GB2312" w:eastAsia="楷体_GB2312" w:hAnsi="楷体_GB2312" w:cs="楷体_GB2312" w:hint="eastAsia"/>
        </w:rPr>
        <w:t>（</w:t>
      </w:r>
      <w:r>
        <w:rPr>
          <w:rFonts w:ascii="楷体_GB2312" w:eastAsia="楷体_GB2312" w:hAnsi="楷体_GB2312" w:cs="楷体_GB2312" w:hint="eastAsia"/>
        </w:rPr>
        <w:t>五</w:t>
      </w:r>
      <w:r>
        <w:rPr>
          <w:rFonts w:ascii="楷体_GB2312" w:eastAsia="楷体_GB2312" w:hAnsi="楷体_GB2312" w:cs="楷体_GB2312" w:hint="eastAsia"/>
        </w:rPr>
        <w:t>）</w:t>
      </w:r>
      <w:r>
        <w:rPr>
          <w:rFonts w:ascii="楷体_GB2312" w:eastAsia="楷体_GB2312" w:hAnsi="楷体_GB2312" w:cs="楷体_GB2312" w:hint="eastAsia"/>
        </w:rPr>
        <w:t>加强合力共建，充分发挥律师专业优势</w:t>
      </w:r>
      <w:r>
        <w:rPr>
          <w:rFonts w:ascii="楷体_GB2312" w:eastAsia="楷体_GB2312" w:hAnsi="楷体_GB2312" w:cs="楷体_GB2312" w:hint="eastAsia"/>
        </w:rPr>
        <w:t>。</w:t>
      </w:r>
      <w:r>
        <w:rPr>
          <w:rFonts w:hint="eastAsia"/>
        </w:rPr>
        <w:t>区司法局派驻律师事务所</w:t>
      </w:r>
      <w:r>
        <w:rPr>
          <w:rFonts w:hint="eastAsia"/>
        </w:rPr>
        <w:t>到学校</w:t>
      </w:r>
      <w:r>
        <w:rPr>
          <w:rFonts w:hint="eastAsia"/>
        </w:rPr>
        <w:t>，形成“校所对接”，</w:t>
      </w:r>
      <w:r>
        <w:rPr>
          <w:rFonts w:hint="eastAsia"/>
        </w:rPr>
        <w:t>进行法律宣讲</w:t>
      </w:r>
      <w:r>
        <w:rPr>
          <w:rFonts w:hint="eastAsia"/>
        </w:rPr>
        <w:t>，</w:t>
      </w:r>
      <w:r>
        <w:rPr>
          <w:rFonts w:hint="eastAsia"/>
        </w:rPr>
        <w:t>开展</w:t>
      </w:r>
      <w:r>
        <w:rPr>
          <w:rFonts w:hint="eastAsia"/>
        </w:rPr>
        <w:t>交通安全、预防未成年人犯罪</w:t>
      </w:r>
      <w:r>
        <w:rPr>
          <w:rFonts w:hint="eastAsia"/>
        </w:rPr>
        <w:t>、</w:t>
      </w:r>
      <w:r>
        <w:rPr>
          <w:rFonts w:hint="eastAsia"/>
        </w:rPr>
        <w:t>防范校园欺凌</w:t>
      </w:r>
      <w:r>
        <w:rPr>
          <w:rFonts w:hint="eastAsia"/>
        </w:rPr>
        <w:t>等</w:t>
      </w:r>
      <w:r>
        <w:rPr>
          <w:rFonts w:hint="eastAsia"/>
        </w:rPr>
        <w:t>普法</w:t>
      </w:r>
      <w:r>
        <w:rPr>
          <w:rFonts w:hint="eastAsia"/>
        </w:rPr>
        <w:t>宣传教育</w:t>
      </w:r>
      <w:r>
        <w:rPr>
          <w:rFonts w:hint="eastAsia"/>
        </w:rPr>
        <w:t>，以生动事例教育学生守法，文明做人，教育青少年坚守法律底线，牢记道德防线</w:t>
      </w:r>
      <w:r>
        <w:rPr>
          <w:rFonts w:hint="eastAsia"/>
        </w:rPr>
        <w:t>。构建青少年法治教育工作机制，</w:t>
      </w:r>
      <w:r>
        <w:rPr>
          <w:rFonts w:hint="eastAsia"/>
        </w:rPr>
        <w:t>逐步</w:t>
      </w:r>
      <w:r>
        <w:rPr>
          <w:rFonts w:hint="eastAsia"/>
        </w:rPr>
        <w:t>形成政府、学校、社会、家庭多元参与的青少年法治教育新格局，以充分调动各方力量参与青少年法治教育工作的积极性和主动性，提升法治教育工作实效。</w:t>
      </w:r>
      <w:r>
        <w:rPr>
          <w:rFonts w:hint="eastAsia"/>
        </w:rPr>
        <w:t>每季度至少安排</w:t>
      </w:r>
      <w:r>
        <w:rPr>
          <w:rFonts w:hint="eastAsia"/>
        </w:rPr>
        <w:t>1</w:t>
      </w:r>
      <w:r>
        <w:rPr>
          <w:rFonts w:hint="eastAsia"/>
        </w:rPr>
        <w:t>课时专业律师宣讲活动。</w:t>
      </w:r>
    </w:p>
    <w:p w:rsidR="00D32C7B" w:rsidRDefault="00740494">
      <w:pPr>
        <w:spacing w:line="54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五、工作要求</w:t>
      </w:r>
    </w:p>
    <w:p w:rsidR="00D32C7B" w:rsidRDefault="00740494">
      <w:pPr>
        <w:spacing w:line="540" w:lineRule="exact"/>
        <w:ind w:firstLineChars="200" w:firstLine="640"/>
      </w:pPr>
      <w:r>
        <w:rPr>
          <w:rFonts w:ascii="楷体_GB2312" w:eastAsia="楷体_GB2312" w:hAnsi="楷体_GB2312" w:cs="楷体_GB2312" w:hint="eastAsia"/>
        </w:rPr>
        <w:t>（一）高度重视，加强领导。</w:t>
      </w:r>
      <w:r>
        <w:rPr>
          <w:rFonts w:hint="eastAsia"/>
        </w:rPr>
        <w:t>各</w:t>
      </w:r>
      <w:r>
        <w:rPr>
          <w:rFonts w:hint="eastAsia"/>
        </w:rPr>
        <w:t>相关单位</w:t>
      </w:r>
      <w:r>
        <w:rPr>
          <w:rFonts w:hint="eastAsia"/>
        </w:rPr>
        <w:t>要把青少年法治教育</w:t>
      </w:r>
      <w:r>
        <w:rPr>
          <w:rFonts w:hint="eastAsia"/>
        </w:rPr>
        <w:t>工作站</w:t>
      </w:r>
      <w:r>
        <w:rPr>
          <w:rFonts w:hint="eastAsia"/>
        </w:rPr>
        <w:t>创建工作作为一项重要工作纳入</w:t>
      </w:r>
      <w:r>
        <w:rPr>
          <w:rFonts w:hint="eastAsia"/>
        </w:rPr>
        <w:t>年度</w:t>
      </w:r>
      <w:r>
        <w:rPr>
          <w:rFonts w:hint="eastAsia"/>
        </w:rPr>
        <w:t>计划，成立工作组织机构，制定工作计划，明确时间进程和目标任务，并通过召开专题会议、争取资金等方式，研究解决创建工作</w:t>
      </w:r>
      <w:r>
        <w:rPr>
          <w:rFonts w:hint="eastAsia"/>
        </w:rPr>
        <w:lastRenderedPageBreak/>
        <w:t>中遇到的问题，确保创建工作的有效开展。</w:t>
      </w:r>
    </w:p>
    <w:p w:rsidR="00D32C7B" w:rsidRDefault="00740494">
      <w:pPr>
        <w:spacing w:line="540" w:lineRule="exact"/>
        <w:ind w:firstLineChars="200" w:firstLine="640"/>
      </w:pPr>
      <w:r>
        <w:rPr>
          <w:rFonts w:ascii="楷体_GB2312" w:eastAsia="楷体_GB2312" w:hAnsi="楷体_GB2312" w:cs="楷体_GB2312" w:hint="eastAsia"/>
        </w:rPr>
        <w:t>（二）稳步推进，务求实效。</w:t>
      </w:r>
      <w:r>
        <w:rPr>
          <w:rFonts w:hint="eastAsia"/>
        </w:rPr>
        <w:t>各</w:t>
      </w:r>
      <w:r>
        <w:rPr>
          <w:rFonts w:hint="eastAsia"/>
        </w:rPr>
        <w:t>学校</w:t>
      </w:r>
      <w:r>
        <w:rPr>
          <w:rFonts w:hint="eastAsia"/>
        </w:rPr>
        <w:t>要从实际出发，结合自身实际，紧紧围绕青少年法治教育活动需要，</w:t>
      </w:r>
      <w:r>
        <w:rPr>
          <w:rFonts w:hint="eastAsia"/>
        </w:rPr>
        <w:t>打造</w:t>
      </w:r>
      <w:r>
        <w:rPr>
          <w:rFonts w:hint="eastAsia"/>
        </w:rPr>
        <w:t>宣传长廊、模拟法庭和法治教室</w:t>
      </w:r>
      <w:r>
        <w:rPr>
          <w:rFonts w:hint="eastAsia"/>
        </w:rPr>
        <w:t>等青少年法治教育阵地</w:t>
      </w:r>
      <w:r>
        <w:rPr>
          <w:rFonts w:hint="eastAsia"/>
        </w:rPr>
        <w:t>，结合青少年学生思想活动特点，制定切实可行的校园普法教育实施方案，推动青少年法治教育活动取得实效。</w:t>
      </w:r>
    </w:p>
    <w:p w:rsidR="00D32C7B" w:rsidRDefault="00740494">
      <w:pPr>
        <w:spacing w:line="540" w:lineRule="exact"/>
        <w:ind w:firstLineChars="200" w:firstLine="640"/>
      </w:pPr>
      <w:r>
        <w:rPr>
          <w:rFonts w:ascii="楷体_GB2312" w:eastAsia="楷体_GB2312" w:hAnsi="楷体_GB2312" w:cs="楷体_GB2312" w:hint="eastAsia"/>
        </w:rPr>
        <w:t>（三）整合资源，力求创新。</w:t>
      </w:r>
      <w:r>
        <w:rPr>
          <w:rFonts w:hint="eastAsia"/>
        </w:rPr>
        <w:t>各</w:t>
      </w:r>
      <w:r>
        <w:rPr>
          <w:rFonts w:hint="eastAsia"/>
        </w:rPr>
        <w:t>相关单位</w:t>
      </w:r>
      <w:r>
        <w:rPr>
          <w:rFonts w:hint="eastAsia"/>
        </w:rPr>
        <w:t>要</w:t>
      </w:r>
      <w:r>
        <w:rPr>
          <w:rFonts w:hint="eastAsia"/>
        </w:rPr>
        <w:t>充分发挥人员、专业、资源</w:t>
      </w:r>
      <w:r>
        <w:rPr>
          <w:rFonts w:hint="eastAsia"/>
        </w:rPr>
        <w:t>优势，积极整合</w:t>
      </w:r>
      <w:r>
        <w:rPr>
          <w:rFonts w:hint="eastAsia"/>
        </w:rPr>
        <w:t>法官、检察官、行政执法人员、律师等专业队伍</w:t>
      </w:r>
      <w:r>
        <w:rPr>
          <w:rFonts w:hint="eastAsia"/>
        </w:rPr>
        <w:t>，积极支持和参与学校青少年法治教育活动，充分</w:t>
      </w:r>
      <w:r>
        <w:rPr>
          <w:rFonts w:hint="eastAsia"/>
        </w:rPr>
        <w:t>发</w:t>
      </w:r>
      <w:r>
        <w:rPr>
          <w:rFonts w:hint="eastAsia"/>
        </w:rPr>
        <w:t>工作站</w:t>
      </w:r>
      <w:r>
        <w:rPr>
          <w:rFonts w:hint="eastAsia"/>
        </w:rPr>
        <w:t>的</w:t>
      </w:r>
      <w:r>
        <w:rPr>
          <w:rFonts w:hint="eastAsia"/>
        </w:rPr>
        <w:t>示范和辐射作用，以点带面，推动</w:t>
      </w:r>
      <w:r>
        <w:rPr>
          <w:rFonts w:hint="eastAsia"/>
        </w:rPr>
        <w:t>全区</w:t>
      </w:r>
      <w:r>
        <w:rPr>
          <w:rFonts w:hint="eastAsia"/>
        </w:rPr>
        <w:t>学校青少年法治教育</w:t>
      </w:r>
      <w:r>
        <w:rPr>
          <w:rFonts w:hint="eastAsia"/>
        </w:rPr>
        <w:t>工作站</w:t>
      </w:r>
      <w:r>
        <w:rPr>
          <w:rFonts w:hint="eastAsia"/>
        </w:rPr>
        <w:t>的建设。</w:t>
      </w:r>
      <w:r>
        <w:rPr>
          <w:rFonts w:hint="eastAsia"/>
        </w:rPr>
        <w:t>各律师事务所要充分发挥专业优势，依托青少年法治教育工作站功能优势，切实助力校园法治建设，努力把法治宣传教育工作融入到青少年校园学习生活中去，使其在耳濡目染中牢固树立法律意识，培养良好的道德情操和法律习惯。</w:t>
      </w:r>
    </w:p>
    <w:p w:rsidR="00D32C7B" w:rsidRDefault="00740494">
      <w:pPr>
        <w:spacing w:line="540" w:lineRule="exact"/>
        <w:ind w:firstLineChars="200" w:firstLine="640"/>
      </w:pPr>
      <w:r>
        <w:rPr>
          <w:rFonts w:ascii="楷体_GB2312" w:eastAsia="楷体_GB2312" w:hAnsi="楷体_GB2312" w:cs="楷体_GB2312" w:hint="eastAsia"/>
        </w:rPr>
        <w:t>（四）总结提高，积极推广。</w:t>
      </w:r>
      <w:r>
        <w:rPr>
          <w:rFonts w:hint="eastAsia"/>
        </w:rPr>
        <w:t>各单位要认真总结创建活动中取得的成功经验，积极查找存在的突出问题，明确整改方向和措施。要将活动的典型经验、成功做法广泛宣传，在</w:t>
      </w:r>
      <w:r>
        <w:rPr>
          <w:rFonts w:hint="eastAsia"/>
        </w:rPr>
        <w:t>全区</w:t>
      </w:r>
      <w:r>
        <w:rPr>
          <w:rFonts w:hint="eastAsia"/>
        </w:rPr>
        <w:t>范围内推广，努力推动</w:t>
      </w:r>
      <w:r>
        <w:rPr>
          <w:rFonts w:hint="eastAsia"/>
        </w:rPr>
        <w:t>全区</w:t>
      </w:r>
      <w:r>
        <w:rPr>
          <w:rFonts w:hint="eastAsia"/>
        </w:rPr>
        <w:t>青少年法治宣传教育工作深入开展，不断提升青少年法治教育的效果和水平。</w:t>
      </w:r>
    </w:p>
    <w:p w:rsidR="00D32C7B" w:rsidRDefault="00D32C7B">
      <w:pPr>
        <w:pStyle w:val="a3"/>
        <w:spacing w:after="0" w:line="540" w:lineRule="exact"/>
      </w:pPr>
    </w:p>
    <w:p w:rsidR="00D32C7B" w:rsidRDefault="00740494">
      <w:pPr>
        <w:pStyle w:val="a3"/>
        <w:spacing w:after="0" w:line="540" w:lineRule="exact"/>
        <w:ind w:firstLineChars="200" w:firstLine="640"/>
      </w:pPr>
      <w:r>
        <w:rPr>
          <w:rFonts w:hint="eastAsia"/>
        </w:rPr>
        <w:t>附件：东丽区教育系统法治服务站工作试点</w:t>
      </w:r>
      <w:r>
        <w:rPr>
          <w:rFonts w:hint="eastAsia"/>
        </w:rPr>
        <w:t>学校</w:t>
      </w:r>
      <w:r>
        <w:rPr>
          <w:rFonts w:hint="eastAsia"/>
        </w:rPr>
        <w:t>名单</w:t>
      </w:r>
    </w:p>
    <w:p w:rsidR="00D32C7B" w:rsidRDefault="00D32C7B">
      <w:pPr>
        <w:pStyle w:val="a3"/>
        <w:spacing w:after="0" w:line="400" w:lineRule="exact"/>
        <w:rPr>
          <w:rFonts w:ascii="黑体" w:eastAsia="黑体" w:hAnsi="黑体" w:cs="黑体"/>
        </w:rPr>
      </w:pPr>
    </w:p>
    <w:p w:rsidR="00D32C7B" w:rsidRDefault="00D32C7B">
      <w:pPr>
        <w:pStyle w:val="a3"/>
        <w:spacing w:after="0" w:line="400" w:lineRule="exact"/>
        <w:rPr>
          <w:rFonts w:ascii="黑体" w:eastAsia="黑体" w:hAnsi="黑体" w:cs="黑体"/>
        </w:rPr>
      </w:pPr>
    </w:p>
    <w:p w:rsidR="00D32C7B" w:rsidRDefault="00D32C7B">
      <w:pPr>
        <w:pStyle w:val="a3"/>
        <w:spacing w:after="0" w:line="400" w:lineRule="exact"/>
        <w:rPr>
          <w:rFonts w:ascii="黑体" w:eastAsia="黑体" w:hAnsi="黑体" w:cs="黑体"/>
        </w:rPr>
      </w:pPr>
    </w:p>
    <w:p w:rsidR="00D32C7B" w:rsidRDefault="00740494">
      <w:pPr>
        <w:pStyle w:val="a3"/>
        <w:spacing w:after="0" w:line="4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D32C7B" w:rsidRDefault="00740494">
      <w:pPr>
        <w:pStyle w:val="a3"/>
        <w:spacing w:after="0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东丽区教育系统法治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教育工作站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试点</w:t>
      </w:r>
    </w:p>
    <w:p w:rsidR="00D32C7B" w:rsidRDefault="00740494">
      <w:pPr>
        <w:pStyle w:val="a3"/>
        <w:spacing w:after="0"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学校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名单</w:t>
      </w:r>
    </w:p>
    <w:tbl>
      <w:tblPr>
        <w:tblpPr w:leftFromText="180" w:rightFromText="180" w:vertAnchor="text" w:horzAnchor="page" w:tblpXSpec="center" w:tblpY="776"/>
        <w:tblOverlap w:val="never"/>
        <w:tblW w:w="8331" w:type="dxa"/>
        <w:jc w:val="center"/>
        <w:tblLook w:val="04A0" w:firstRow="1" w:lastRow="0" w:firstColumn="1" w:lastColumn="0" w:noHBand="0" w:noVBand="1"/>
      </w:tblPr>
      <w:tblGrid>
        <w:gridCol w:w="585"/>
        <w:gridCol w:w="1566"/>
        <w:gridCol w:w="2760"/>
        <w:gridCol w:w="3420"/>
      </w:tblGrid>
      <w:tr w:rsidR="00D32C7B">
        <w:trPr>
          <w:trHeight w:val="440"/>
          <w:jc w:val="center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街道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包联律师事务所</w:t>
            </w:r>
          </w:p>
        </w:tc>
      </w:tr>
      <w:tr w:rsidR="00D32C7B">
        <w:trPr>
          <w:trHeight w:val="480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D32C7B">
            <w:pPr>
              <w:jc w:val="center"/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D32C7B">
            <w:pPr>
              <w:jc w:val="center"/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D32C7B">
            <w:pPr>
              <w:jc w:val="center"/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D32C7B">
            <w:pPr>
              <w:jc w:val="center"/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万新街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程林中学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天津裕如律师事务所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D32C7B"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李明庄小学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天津维畅律师事务所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华明街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华明中学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天津维畅律师事务所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D32C7B"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流芳小学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天津维畅律师事务所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金钟街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大毕庄中学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天津港山律师事务所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D32C7B"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金钟小学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天津港山律师事务所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新立街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丽贤小学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天津秦天律师事务所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D32C7B"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四合庄中学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天津德敬律师事务所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军粮城街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军粮城中学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天津鼎名律师事务所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D32C7B"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军粮城小学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天津鼎名律师事务所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无瑕街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滨瑕小学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天津景航律师事务所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D32C7B"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钢管公司中学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天津秦天律师事务所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金桥街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东羽小学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天津瑞宇律师事务所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D32C7B"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小东庄中学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天津德敬律师事务所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张贵庄街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东丽中学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天津德敬律师事务所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D32C7B"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津门小学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天津乘云律师事务所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丰年村街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第一百中学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天津秦天律师事务所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D32C7B"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丽泽小学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天津安锴律师事务所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东丽湖街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华侨城实验学校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天津德敬律师事务所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D32C7B"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职教中心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天津秦天律师事务所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华新街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华新实验学校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天津港山律师事务所</w:t>
            </w:r>
          </w:p>
        </w:tc>
      </w:tr>
      <w:tr w:rsidR="00D32C7B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D32C7B"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华新小学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C7B" w:rsidRDefault="00740494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天津港山律师事务所</w:t>
            </w:r>
          </w:p>
        </w:tc>
      </w:tr>
    </w:tbl>
    <w:p w:rsidR="00D32C7B" w:rsidRDefault="00D32C7B"/>
    <w:sectPr w:rsidR="00D32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WQ5N2RkM2NlNGY3ZDY3ZGMyMjVkMDhhYmQ0OTUifQ=="/>
  </w:docVars>
  <w:rsids>
    <w:rsidRoot w:val="12FF7F97"/>
    <w:rsid w:val="001938E5"/>
    <w:rsid w:val="00740494"/>
    <w:rsid w:val="00D32C7B"/>
    <w:rsid w:val="12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NormalIndent"/>
    <w:autoRedefine/>
    <w:qFormat/>
    <w:pPr>
      <w:widowControl w:val="0"/>
      <w:jc w:val="both"/>
    </w:pPr>
    <w:rPr>
      <w:rFonts w:ascii="Times New Roman" w:eastAsia="仿宋_GB2312" w:hAnsi="Times New Roman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Indent"/>
    <w:basedOn w:val="a"/>
    <w:autoRedefine/>
    <w:qFormat/>
    <w:pPr>
      <w:ind w:firstLineChars="200" w:firstLine="420"/>
      <w:textAlignment w:val="baseline"/>
    </w:pPr>
    <w:rPr>
      <w:rFonts w:eastAsia="宋体"/>
      <w:sz w:val="24"/>
      <w:szCs w:val="24"/>
    </w:rPr>
  </w:style>
  <w:style w:type="paragraph" w:styleId="a3">
    <w:name w:val="Body Text"/>
    <w:basedOn w:val="a"/>
    <w:qFormat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NormalIndent"/>
    <w:autoRedefine/>
    <w:qFormat/>
    <w:pPr>
      <w:widowControl w:val="0"/>
      <w:jc w:val="both"/>
    </w:pPr>
    <w:rPr>
      <w:rFonts w:ascii="Times New Roman" w:eastAsia="仿宋_GB2312" w:hAnsi="Times New Roman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Indent"/>
    <w:basedOn w:val="a"/>
    <w:autoRedefine/>
    <w:qFormat/>
    <w:pPr>
      <w:ind w:firstLineChars="200" w:firstLine="420"/>
      <w:textAlignment w:val="baseline"/>
    </w:pPr>
    <w:rPr>
      <w:rFonts w:eastAsia="宋体"/>
      <w:sz w:val="24"/>
      <w:szCs w:val="24"/>
    </w:rPr>
  </w:style>
  <w:style w:type="paragraph" w:styleId="a3">
    <w:name w:val="Body Text"/>
    <w:basedOn w:val="a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张鱼小婉子</dc:creator>
  <cp:lastModifiedBy>xb21cn</cp:lastModifiedBy>
  <cp:revision>3</cp:revision>
  <dcterms:created xsi:type="dcterms:W3CDTF">2024-03-28T10:10:00Z</dcterms:created>
  <dcterms:modified xsi:type="dcterms:W3CDTF">2025-05-09T03:37:00Z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B684063D727A44E8B64643588A689FDD_11</vt:lpwstr>
  </property>
</Properties>
</file>