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rPr>
          <w:rFonts w:hint="eastAsia"/>
        </w:rPr>
      </w:pPr>
    </w:p>
    <w:p>
      <w:pPr>
        <w:spacing w:line="560" w:lineRule="exact"/>
        <w:jc w:val="center"/>
        <w:rPr>
          <w:rFonts w:hint="eastAsia" w:ascii="方正小标宋简体" w:hAnsi="方正小标宋简体" w:eastAsia="方正小标宋简体" w:cs="方正小标宋简体"/>
          <w:sz w:val="44"/>
          <w:szCs w:val="44"/>
        </w:rPr>
      </w:pP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东丽区农业农村现代化“十四五”规划</w:t>
      </w:r>
    </w:p>
    <w:p>
      <w:pPr>
        <w:pStyle w:val="26"/>
        <w:spacing w:beforeLines="0" w:afterLines="0"/>
        <w:ind w:left="45" w:firstLine="777" w:firstLineChars="176"/>
        <w:rPr>
          <w:sz w:val="44"/>
          <w:szCs w:val="52"/>
        </w:rPr>
      </w:pPr>
    </w:p>
    <w:p>
      <w:pPr>
        <w:pStyle w:val="26"/>
        <w:spacing w:beforeLines="0" w:afterLines="0"/>
        <w:ind w:left="45" w:firstLine="777" w:firstLineChars="176"/>
        <w:rPr>
          <w:sz w:val="44"/>
          <w:szCs w:val="52"/>
        </w:rPr>
      </w:pPr>
    </w:p>
    <w:p>
      <w:pPr>
        <w:pStyle w:val="26"/>
        <w:spacing w:beforeLines="0" w:afterLines="0"/>
        <w:ind w:left="45" w:firstLine="777" w:firstLineChars="176"/>
        <w:rPr>
          <w:sz w:val="44"/>
          <w:szCs w:val="52"/>
        </w:rPr>
      </w:pPr>
    </w:p>
    <w:p>
      <w:pPr>
        <w:pStyle w:val="26"/>
        <w:spacing w:beforeLines="0" w:afterLines="0"/>
        <w:ind w:left="45" w:firstLine="777" w:firstLineChars="176"/>
        <w:rPr>
          <w:sz w:val="44"/>
          <w:szCs w:val="52"/>
        </w:rPr>
      </w:pPr>
      <w:bookmarkStart w:id="186" w:name="_GoBack"/>
      <w:bookmarkEnd w:id="186"/>
    </w:p>
    <w:p>
      <w:pPr>
        <w:pStyle w:val="26"/>
        <w:spacing w:beforeLines="0" w:afterLines="0"/>
        <w:ind w:left="45" w:firstLine="777" w:firstLineChars="176"/>
        <w:rPr>
          <w:sz w:val="44"/>
          <w:szCs w:val="52"/>
        </w:rPr>
      </w:pPr>
    </w:p>
    <w:p>
      <w:pPr>
        <w:pStyle w:val="26"/>
        <w:spacing w:beforeLines="0" w:afterLines="0"/>
        <w:ind w:left="45" w:firstLine="777" w:firstLineChars="176"/>
        <w:rPr>
          <w:sz w:val="44"/>
          <w:szCs w:val="52"/>
        </w:rPr>
      </w:pPr>
    </w:p>
    <w:p>
      <w:pPr>
        <w:pStyle w:val="26"/>
        <w:spacing w:beforeLines="0" w:afterLines="0"/>
        <w:ind w:left="45" w:firstLine="777" w:firstLineChars="176"/>
        <w:rPr>
          <w:sz w:val="44"/>
          <w:szCs w:val="52"/>
        </w:rPr>
      </w:pPr>
    </w:p>
    <w:p>
      <w:pPr>
        <w:pStyle w:val="26"/>
        <w:spacing w:beforeLines="0" w:afterLines="0"/>
        <w:ind w:left="45" w:firstLine="777" w:firstLineChars="176"/>
        <w:rPr>
          <w:sz w:val="44"/>
          <w:szCs w:val="52"/>
        </w:rPr>
      </w:pPr>
    </w:p>
    <w:p>
      <w:pPr>
        <w:pStyle w:val="26"/>
        <w:spacing w:beforeLines="0" w:afterLines="0"/>
        <w:ind w:left="45" w:firstLine="777" w:firstLineChars="176"/>
        <w:rPr>
          <w:sz w:val="44"/>
          <w:szCs w:val="52"/>
        </w:rPr>
      </w:pPr>
    </w:p>
    <w:p>
      <w:pPr>
        <w:pStyle w:val="26"/>
        <w:spacing w:beforeLines="0" w:afterLines="0"/>
        <w:ind w:left="46" w:firstLine="777" w:firstLineChars="176"/>
        <w:rPr>
          <w:rFonts w:ascii="仿宋gb2312" w:hAnsi="仿宋gb2312" w:eastAsia="仿宋gb2312" w:cs="仿宋gb2312"/>
          <w:sz w:val="44"/>
          <w:szCs w:val="52"/>
        </w:rPr>
      </w:pPr>
    </w:p>
    <w:p>
      <w:pPr>
        <w:widowControl/>
        <w:ind w:left="-104" w:firstLine="563" w:firstLineChars="176"/>
        <w:jc w:val="center"/>
        <w:rPr>
          <w:rFonts w:ascii="方正小标宋简体" w:hAnsi="方正小标宋简体" w:eastAsia="方正小标宋简体" w:cs="方正小标宋简体"/>
          <w:sz w:val="32"/>
          <w:szCs w:val="32"/>
        </w:rPr>
      </w:pPr>
    </w:p>
    <w:p>
      <w:pPr>
        <w:widowControl/>
        <w:ind w:left="-104" w:firstLine="563" w:firstLineChars="176"/>
        <w:jc w:val="center"/>
        <w:rPr>
          <w:rFonts w:ascii="方正小标宋简体" w:hAnsi="方正小标宋简体" w:eastAsia="方正小标宋简体" w:cs="方正小标宋简体"/>
          <w:sz w:val="32"/>
          <w:szCs w:val="32"/>
        </w:rPr>
      </w:pPr>
    </w:p>
    <w:p>
      <w:pPr>
        <w:widowControl/>
        <w:ind w:left="-104" w:firstLine="563" w:firstLineChars="176"/>
        <w:jc w:val="center"/>
        <w:rPr>
          <w:rFonts w:ascii="方正小标宋简体" w:hAnsi="方正小标宋简体" w:eastAsia="方正小标宋简体" w:cs="方正小标宋简体"/>
          <w:sz w:val="32"/>
          <w:szCs w:val="32"/>
        </w:rPr>
      </w:pPr>
    </w:p>
    <w:p>
      <w:pPr>
        <w:widowControl/>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天津市东丽</w:t>
      </w:r>
      <w:r>
        <w:rPr>
          <w:rFonts w:ascii="方正小标宋简体" w:hAnsi="方正小标宋简体" w:eastAsia="方正小标宋简体" w:cs="方正小标宋简体"/>
          <w:sz w:val="32"/>
          <w:szCs w:val="32"/>
        </w:rPr>
        <w:t>区农业农村</w:t>
      </w:r>
      <w:r>
        <w:rPr>
          <w:rFonts w:hint="eastAsia" w:ascii="方正小标宋简体" w:hAnsi="方正小标宋简体" w:eastAsia="方正小标宋简体" w:cs="方正小标宋简体"/>
          <w:sz w:val="32"/>
          <w:szCs w:val="32"/>
        </w:rPr>
        <w:t>委员会</w:t>
      </w:r>
    </w:p>
    <w:p>
      <w:pPr>
        <w:widowControl/>
        <w:jc w:val="center"/>
        <w:rPr>
          <w:rFonts w:ascii="方正小标宋简体" w:hAnsi="方正小标宋简体" w:eastAsia="方正小标宋简体" w:cs="方正小标宋简体"/>
          <w:sz w:val="32"/>
          <w:szCs w:val="32"/>
        </w:rPr>
      </w:pPr>
      <w:r>
        <w:rPr>
          <w:rFonts w:ascii="方正小标宋简体" w:hAnsi="方正小标宋简体" w:eastAsia="方正小标宋简体" w:cs="方正小标宋简体"/>
          <w:sz w:val="32"/>
          <w:szCs w:val="32"/>
        </w:rPr>
        <w:t>二〇二</w:t>
      </w:r>
      <w:r>
        <w:rPr>
          <w:rFonts w:hint="eastAsia" w:ascii="方正小标宋简体" w:hAnsi="方正小标宋简体" w:eastAsia="方正小标宋简体" w:cs="方正小标宋简体"/>
          <w:sz w:val="32"/>
          <w:szCs w:val="32"/>
        </w:rPr>
        <w:t>一</w:t>
      </w:r>
      <w:r>
        <w:rPr>
          <w:rFonts w:ascii="方正小标宋简体" w:hAnsi="方正小标宋简体" w:eastAsia="方正小标宋简体" w:cs="方正小标宋简体"/>
          <w:sz w:val="32"/>
          <w:szCs w:val="32"/>
        </w:rPr>
        <w:t>年</w:t>
      </w:r>
      <w:r>
        <w:rPr>
          <w:rFonts w:hint="eastAsia" w:ascii="方正小标宋简体" w:hAnsi="方正小标宋简体" w:eastAsia="方正小标宋简体" w:cs="方正小标宋简体"/>
          <w:sz w:val="32"/>
          <w:szCs w:val="32"/>
        </w:rPr>
        <w:t>四</w:t>
      </w:r>
      <w:r>
        <w:rPr>
          <w:rFonts w:ascii="方正小标宋简体" w:hAnsi="方正小标宋简体" w:eastAsia="方正小标宋简体" w:cs="方正小标宋简体"/>
          <w:sz w:val="32"/>
          <w:szCs w:val="32"/>
        </w:rPr>
        <w:t>月</w:t>
      </w:r>
    </w:p>
    <w:p>
      <w:pPr>
        <w:pStyle w:val="2"/>
        <w:rPr>
          <w:rFonts w:ascii="方正小标宋简体" w:hAnsi="方正小标宋简体" w:eastAsia="方正小标宋简体" w:cs="方正小标宋简体"/>
          <w:sz w:val="32"/>
          <w:szCs w:val="32"/>
        </w:rPr>
      </w:pPr>
    </w:p>
    <w:p>
      <w:pPr>
        <w:pStyle w:val="2"/>
        <w:rPr>
          <w:rFonts w:ascii="方正小标宋简体" w:hAnsi="方正小标宋简体" w:eastAsia="方正小标宋简体" w:cs="方正小标宋简体"/>
          <w:sz w:val="32"/>
          <w:szCs w:val="32"/>
        </w:rPr>
      </w:pPr>
    </w:p>
    <w:p>
      <w:pPr>
        <w:pStyle w:val="2"/>
        <w:rPr>
          <w:rFonts w:ascii="方正小标宋简体" w:hAnsi="方正小标宋简体" w:eastAsia="方正小标宋简体" w:cs="方正小标宋简体"/>
          <w:sz w:val="32"/>
          <w:szCs w:val="32"/>
        </w:rPr>
      </w:pPr>
    </w:p>
    <w:p>
      <w:pPr>
        <w:pStyle w:val="26"/>
        <w:spacing w:beforeLines="0" w:afterLines="0" w:line="540" w:lineRule="exact"/>
        <w:ind w:left="-83" w:firstLine="563" w:firstLineChars="176"/>
        <w:jc w:val="both"/>
        <w:rPr>
          <w:rFonts w:ascii="仿宋" w:hAnsi="仿宋" w:eastAsia="仿宋"/>
          <w:b w:val="0"/>
          <w:sz w:val="32"/>
          <w:szCs w:val="32"/>
        </w:rPr>
      </w:pPr>
    </w:p>
    <w:sdt>
      <w:sdtPr>
        <w:rPr>
          <w:rFonts w:ascii="宋体" w:hAnsi="宋体" w:eastAsia="宋体"/>
        </w:rPr>
        <w:id w:val="147465535"/>
        <w:docPartObj>
          <w:docPartGallery w:val="Table of Contents"/>
          <w:docPartUnique/>
        </w:docPartObj>
      </w:sdtPr>
      <w:sdtEndPr>
        <w:rPr>
          <w:rFonts w:ascii="仿宋" w:hAnsi="仿宋" w:eastAsia="仿宋" w:cs="宋体"/>
          <w:sz w:val="32"/>
          <w:szCs w:val="32"/>
        </w:rPr>
      </w:sdtEndPr>
      <w:sdtContent>
        <w:p>
          <w:pPr>
            <w:spacing w:line="580" w:lineRule="exact"/>
            <w:jc w:val="center"/>
            <w:rPr>
              <w:rFonts w:ascii="仿宋" w:hAnsi="仿宋" w:eastAsia="仿宋" w:cs="仿宋"/>
              <w:b/>
              <w:bCs/>
              <w:sz w:val="36"/>
              <w:szCs w:val="36"/>
            </w:rPr>
          </w:pPr>
          <w:r>
            <w:rPr>
              <w:rFonts w:hint="eastAsia" w:ascii="仿宋" w:hAnsi="仿宋" w:eastAsia="仿宋" w:cs="仿宋"/>
              <w:b/>
              <w:bCs/>
              <w:sz w:val="36"/>
              <w:szCs w:val="36"/>
            </w:rPr>
            <w:t>目录</w:t>
          </w:r>
        </w:p>
        <w:p>
          <w:pPr>
            <w:adjustRightInd w:val="0"/>
            <w:snapToGrid w:val="0"/>
            <w:spacing w:line="580" w:lineRule="exact"/>
            <w:ind w:left="-124" w:firstLine="563" w:firstLineChars="176"/>
            <w:jc w:val="center"/>
            <w:rPr>
              <w:rFonts w:ascii="仿宋" w:hAnsi="仿宋" w:eastAsia="仿宋" w:cs="仿宋"/>
              <w:bCs/>
              <w:sz w:val="32"/>
              <w:szCs w:val="32"/>
            </w:rPr>
          </w:pPr>
        </w:p>
        <w:p>
          <w:pPr>
            <w:pStyle w:val="10"/>
            <w:tabs>
              <w:tab w:val="right" w:leader="dot" w:pos="8390"/>
            </w:tabs>
            <w:adjustRightInd w:val="0"/>
            <w:snapToGrid w:val="0"/>
            <w:spacing w:line="580" w:lineRule="exact"/>
            <w:rPr>
              <w:rFonts w:ascii="仿宋" w:hAnsi="仿宋" w:eastAsia="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TOC \o "1-2" \h \u </w:instrText>
          </w:r>
          <w:r>
            <w:rPr>
              <w:rFonts w:hint="eastAsia" w:ascii="仿宋" w:hAnsi="仿宋" w:eastAsia="仿宋" w:cs="仿宋"/>
              <w:sz w:val="32"/>
              <w:szCs w:val="32"/>
            </w:rPr>
            <w:fldChar w:fldCharType="separate"/>
          </w:r>
          <w:r>
            <w:fldChar w:fldCharType="begin"/>
          </w:r>
          <w:r>
            <w:instrText xml:space="preserve"> HYPERLINK \l "_Toc70524100" </w:instrText>
          </w:r>
          <w:r>
            <w:fldChar w:fldCharType="separate"/>
          </w:r>
          <w:r>
            <w:rPr>
              <w:rStyle w:val="18"/>
              <w:rFonts w:hint="eastAsia" w:ascii="仿宋" w:hAnsi="仿宋" w:eastAsia="仿宋"/>
              <w:sz w:val="32"/>
              <w:szCs w:val="32"/>
            </w:rPr>
            <w:t>一、坚持行稳致远，夯实农业农村发展基础</w:t>
          </w:r>
          <w:r>
            <w:rPr>
              <w:rFonts w:ascii="仿宋" w:hAnsi="仿宋" w:eastAsia="仿宋"/>
              <w:sz w:val="32"/>
              <w:szCs w:val="32"/>
            </w:rPr>
            <w:tab/>
          </w:r>
          <w:r>
            <w:rPr>
              <w:rFonts w:ascii="仿宋" w:hAnsi="仿宋" w:eastAsia="仿宋"/>
              <w:sz w:val="32"/>
              <w:szCs w:val="32"/>
            </w:rPr>
            <w:fldChar w:fldCharType="begin"/>
          </w:r>
          <w:r>
            <w:rPr>
              <w:rFonts w:ascii="仿宋" w:hAnsi="仿宋" w:eastAsia="仿宋"/>
              <w:sz w:val="32"/>
              <w:szCs w:val="32"/>
            </w:rPr>
            <w:instrText xml:space="preserve"> PAGEREF _Toc70524100 \h </w:instrText>
          </w:r>
          <w:r>
            <w:rPr>
              <w:rFonts w:ascii="仿宋" w:hAnsi="仿宋" w:eastAsia="仿宋"/>
              <w:sz w:val="32"/>
              <w:szCs w:val="32"/>
            </w:rPr>
            <w:fldChar w:fldCharType="separate"/>
          </w:r>
          <w:r>
            <w:rPr>
              <w:rFonts w:ascii="仿宋" w:hAnsi="仿宋" w:eastAsia="仿宋"/>
              <w:sz w:val="32"/>
              <w:szCs w:val="32"/>
            </w:rPr>
            <w:t>- 5 -</w:t>
          </w:r>
          <w:r>
            <w:rPr>
              <w:rFonts w:ascii="仿宋" w:hAnsi="仿宋" w:eastAsia="仿宋"/>
              <w:sz w:val="32"/>
              <w:szCs w:val="32"/>
            </w:rPr>
            <w:fldChar w:fldCharType="end"/>
          </w:r>
          <w:r>
            <w:rPr>
              <w:rFonts w:ascii="仿宋" w:hAnsi="仿宋" w:eastAsia="仿宋"/>
              <w:sz w:val="32"/>
              <w:szCs w:val="32"/>
            </w:rPr>
            <w:fldChar w:fldCharType="end"/>
          </w:r>
        </w:p>
        <w:p>
          <w:pPr>
            <w:pStyle w:val="11"/>
            <w:tabs>
              <w:tab w:val="right" w:leader="dot" w:pos="8390"/>
            </w:tabs>
            <w:adjustRightInd w:val="0"/>
            <w:snapToGrid w:val="0"/>
            <w:spacing w:line="580" w:lineRule="exact"/>
            <w:rPr>
              <w:rFonts w:ascii="仿宋" w:hAnsi="仿宋" w:eastAsia="仿宋"/>
              <w:sz w:val="32"/>
              <w:szCs w:val="32"/>
            </w:rPr>
          </w:pPr>
          <w:r>
            <w:fldChar w:fldCharType="begin"/>
          </w:r>
          <w:r>
            <w:instrText xml:space="preserve"> HYPERLINK \l "_Toc70524101" </w:instrText>
          </w:r>
          <w:r>
            <w:fldChar w:fldCharType="separate"/>
          </w:r>
          <w:r>
            <w:rPr>
              <w:rStyle w:val="18"/>
              <w:rFonts w:ascii="仿宋" w:hAnsi="仿宋" w:eastAsia="仿宋" w:cs="楷体_GB2312"/>
              <w:sz w:val="32"/>
              <w:szCs w:val="32"/>
            </w:rPr>
            <w:t>1.</w:t>
          </w:r>
          <w:r>
            <w:rPr>
              <w:rStyle w:val="18"/>
              <w:rFonts w:hint="eastAsia" w:ascii="仿宋" w:hAnsi="仿宋" w:eastAsia="仿宋" w:cs="楷体_GB2312"/>
              <w:sz w:val="32"/>
              <w:szCs w:val="32"/>
            </w:rPr>
            <w:t>发展成效</w:t>
          </w:r>
          <w:r>
            <w:rPr>
              <w:rFonts w:ascii="仿宋" w:hAnsi="仿宋" w:eastAsia="仿宋"/>
              <w:sz w:val="32"/>
              <w:szCs w:val="32"/>
            </w:rPr>
            <w:tab/>
          </w:r>
          <w:r>
            <w:rPr>
              <w:rFonts w:ascii="仿宋" w:hAnsi="仿宋" w:eastAsia="仿宋"/>
              <w:sz w:val="32"/>
              <w:szCs w:val="32"/>
            </w:rPr>
            <w:fldChar w:fldCharType="begin"/>
          </w:r>
          <w:r>
            <w:rPr>
              <w:rFonts w:ascii="仿宋" w:hAnsi="仿宋" w:eastAsia="仿宋"/>
              <w:sz w:val="32"/>
              <w:szCs w:val="32"/>
            </w:rPr>
            <w:instrText xml:space="preserve"> PAGEREF _Toc70524101 \h </w:instrText>
          </w:r>
          <w:r>
            <w:rPr>
              <w:rFonts w:ascii="仿宋" w:hAnsi="仿宋" w:eastAsia="仿宋"/>
              <w:sz w:val="32"/>
              <w:szCs w:val="32"/>
            </w:rPr>
            <w:fldChar w:fldCharType="separate"/>
          </w:r>
          <w:r>
            <w:rPr>
              <w:rFonts w:ascii="仿宋" w:hAnsi="仿宋" w:eastAsia="仿宋"/>
              <w:sz w:val="32"/>
              <w:szCs w:val="32"/>
            </w:rPr>
            <w:t>- 5 -</w:t>
          </w:r>
          <w:r>
            <w:rPr>
              <w:rFonts w:ascii="仿宋" w:hAnsi="仿宋" w:eastAsia="仿宋"/>
              <w:sz w:val="32"/>
              <w:szCs w:val="32"/>
            </w:rPr>
            <w:fldChar w:fldCharType="end"/>
          </w:r>
          <w:r>
            <w:rPr>
              <w:rFonts w:ascii="仿宋" w:hAnsi="仿宋" w:eastAsia="仿宋"/>
              <w:sz w:val="32"/>
              <w:szCs w:val="32"/>
            </w:rPr>
            <w:fldChar w:fldCharType="end"/>
          </w:r>
        </w:p>
        <w:p>
          <w:pPr>
            <w:pStyle w:val="11"/>
            <w:tabs>
              <w:tab w:val="right" w:leader="dot" w:pos="8390"/>
            </w:tabs>
            <w:adjustRightInd w:val="0"/>
            <w:snapToGrid w:val="0"/>
            <w:spacing w:line="580" w:lineRule="exact"/>
            <w:rPr>
              <w:rFonts w:ascii="仿宋" w:hAnsi="仿宋" w:eastAsia="仿宋"/>
              <w:sz w:val="32"/>
              <w:szCs w:val="32"/>
            </w:rPr>
          </w:pPr>
          <w:r>
            <w:fldChar w:fldCharType="begin"/>
          </w:r>
          <w:r>
            <w:instrText xml:space="preserve"> HYPERLINK \l "_Toc70524102" </w:instrText>
          </w:r>
          <w:r>
            <w:fldChar w:fldCharType="separate"/>
          </w:r>
          <w:r>
            <w:rPr>
              <w:rStyle w:val="18"/>
              <w:rFonts w:ascii="仿宋" w:hAnsi="仿宋" w:eastAsia="仿宋" w:cs="楷体_GB2312"/>
              <w:sz w:val="32"/>
              <w:szCs w:val="32"/>
            </w:rPr>
            <w:t>2.</w:t>
          </w:r>
          <w:r>
            <w:rPr>
              <w:rStyle w:val="18"/>
              <w:rFonts w:hint="eastAsia" w:ascii="仿宋" w:hAnsi="仿宋" w:eastAsia="仿宋" w:cs="楷体_GB2312"/>
              <w:sz w:val="32"/>
              <w:szCs w:val="32"/>
            </w:rPr>
            <w:t>发展瓶颈</w:t>
          </w:r>
          <w:r>
            <w:rPr>
              <w:rFonts w:ascii="仿宋" w:hAnsi="仿宋" w:eastAsia="仿宋"/>
              <w:sz w:val="32"/>
              <w:szCs w:val="32"/>
            </w:rPr>
            <w:tab/>
          </w:r>
          <w:r>
            <w:rPr>
              <w:rFonts w:ascii="仿宋" w:hAnsi="仿宋" w:eastAsia="仿宋"/>
              <w:sz w:val="32"/>
              <w:szCs w:val="32"/>
            </w:rPr>
            <w:fldChar w:fldCharType="begin"/>
          </w:r>
          <w:r>
            <w:rPr>
              <w:rFonts w:ascii="仿宋" w:hAnsi="仿宋" w:eastAsia="仿宋"/>
              <w:sz w:val="32"/>
              <w:szCs w:val="32"/>
            </w:rPr>
            <w:instrText xml:space="preserve"> PAGEREF _Toc70524102 \h </w:instrText>
          </w:r>
          <w:r>
            <w:rPr>
              <w:rFonts w:ascii="仿宋" w:hAnsi="仿宋" w:eastAsia="仿宋"/>
              <w:sz w:val="32"/>
              <w:szCs w:val="32"/>
            </w:rPr>
            <w:fldChar w:fldCharType="separate"/>
          </w:r>
          <w:r>
            <w:rPr>
              <w:rFonts w:ascii="仿宋" w:hAnsi="仿宋" w:eastAsia="仿宋"/>
              <w:sz w:val="32"/>
              <w:szCs w:val="32"/>
            </w:rPr>
            <w:t>- 9 -</w:t>
          </w:r>
          <w:r>
            <w:rPr>
              <w:rFonts w:ascii="仿宋" w:hAnsi="仿宋" w:eastAsia="仿宋"/>
              <w:sz w:val="32"/>
              <w:szCs w:val="32"/>
            </w:rPr>
            <w:fldChar w:fldCharType="end"/>
          </w:r>
          <w:r>
            <w:rPr>
              <w:rFonts w:ascii="仿宋" w:hAnsi="仿宋" w:eastAsia="仿宋"/>
              <w:sz w:val="32"/>
              <w:szCs w:val="32"/>
            </w:rPr>
            <w:fldChar w:fldCharType="end"/>
          </w:r>
        </w:p>
        <w:p>
          <w:pPr>
            <w:pStyle w:val="10"/>
            <w:tabs>
              <w:tab w:val="right" w:leader="dot" w:pos="8390"/>
            </w:tabs>
            <w:adjustRightInd w:val="0"/>
            <w:snapToGrid w:val="0"/>
            <w:spacing w:line="580" w:lineRule="exact"/>
            <w:rPr>
              <w:rFonts w:ascii="仿宋" w:hAnsi="仿宋" w:eastAsia="仿宋"/>
              <w:sz w:val="32"/>
              <w:szCs w:val="32"/>
            </w:rPr>
          </w:pPr>
          <w:r>
            <w:fldChar w:fldCharType="begin"/>
          </w:r>
          <w:r>
            <w:instrText xml:space="preserve"> HYPERLINK \l "_Toc70524103" </w:instrText>
          </w:r>
          <w:r>
            <w:fldChar w:fldCharType="separate"/>
          </w:r>
          <w:r>
            <w:rPr>
              <w:rStyle w:val="18"/>
              <w:rFonts w:hint="eastAsia" w:ascii="仿宋" w:hAnsi="仿宋" w:eastAsia="仿宋"/>
              <w:sz w:val="32"/>
              <w:szCs w:val="32"/>
            </w:rPr>
            <w:t>二、科学研判时势，辩证把握发展机遇和面临挑战</w:t>
          </w:r>
          <w:r>
            <w:rPr>
              <w:rFonts w:ascii="仿宋" w:hAnsi="仿宋" w:eastAsia="仿宋"/>
              <w:sz w:val="32"/>
              <w:szCs w:val="32"/>
            </w:rPr>
            <w:tab/>
          </w:r>
          <w:r>
            <w:rPr>
              <w:rFonts w:ascii="仿宋" w:hAnsi="仿宋" w:eastAsia="仿宋"/>
              <w:sz w:val="32"/>
              <w:szCs w:val="32"/>
            </w:rPr>
            <w:fldChar w:fldCharType="begin"/>
          </w:r>
          <w:r>
            <w:rPr>
              <w:rFonts w:ascii="仿宋" w:hAnsi="仿宋" w:eastAsia="仿宋"/>
              <w:sz w:val="32"/>
              <w:szCs w:val="32"/>
            </w:rPr>
            <w:instrText xml:space="preserve"> PAGEREF _Toc70524103 \h </w:instrText>
          </w:r>
          <w:r>
            <w:rPr>
              <w:rFonts w:ascii="仿宋" w:hAnsi="仿宋" w:eastAsia="仿宋"/>
              <w:sz w:val="32"/>
              <w:szCs w:val="32"/>
            </w:rPr>
            <w:fldChar w:fldCharType="separate"/>
          </w:r>
          <w:r>
            <w:rPr>
              <w:rFonts w:ascii="仿宋" w:hAnsi="仿宋" w:eastAsia="仿宋"/>
              <w:sz w:val="32"/>
              <w:szCs w:val="32"/>
            </w:rPr>
            <w:t>- 10 -</w:t>
          </w:r>
          <w:r>
            <w:rPr>
              <w:rFonts w:ascii="仿宋" w:hAnsi="仿宋" w:eastAsia="仿宋"/>
              <w:sz w:val="32"/>
              <w:szCs w:val="32"/>
            </w:rPr>
            <w:fldChar w:fldCharType="end"/>
          </w:r>
          <w:r>
            <w:rPr>
              <w:rFonts w:ascii="仿宋" w:hAnsi="仿宋" w:eastAsia="仿宋"/>
              <w:sz w:val="32"/>
              <w:szCs w:val="32"/>
            </w:rPr>
            <w:fldChar w:fldCharType="end"/>
          </w:r>
        </w:p>
        <w:p>
          <w:pPr>
            <w:pStyle w:val="11"/>
            <w:tabs>
              <w:tab w:val="right" w:leader="dot" w:pos="8390"/>
            </w:tabs>
            <w:adjustRightInd w:val="0"/>
            <w:snapToGrid w:val="0"/>
            <w:spacing w:line="580" w:lineRule="exact"/>
            <w:rPr>
              <w:rFonts w:ascii="仿宋" w:hAnsi="仿宋" w:eastAsia="仿宋"/>
              <w:sz w:val="32"/>
              <w:szCs w:val="32"/>
            </w:rPr>
          </w:pPr>
          <w:r>
            <w:fldChar w:fldCharType="begin"/>
          </w:r>
          <w:r>
            <w:instrText xml:space="preserve"> HYPERLINK \l "_Toc70524104" </w:instrText>
          </w:r>
          <w:r>
            <w:fldChar w:fldCharType="separate"/>
          </w:r>
          <w:r>
            <w:rPr>
              <w:rStyle w:val="18"/>
              <w:rFonts w:ascii="仿宋" w:hAnsi="仿宋" w:eastAsia="仿宋" w:cs="楷体_GB2312"/>
              <w:sz w:val="32"/>
              <w:szCs w:val="32"/>
            </w:rPr>
            <w:t>1.</w:t>
          </w:r>
          <w:r>
            <w:rPr>
              <w:rStyle w:val="18"/>
              <w:rFonts w:hint="eastAsia" w:ascii="仿宋" w:hAnsi="仿宋" w:eastAsia="仿宋" w:cs="楷体_GB2312"/>
              <w:sz w:val="32"/>
              <w:szCs w:val="32"/>
            </w:rPr>
            <w:t>发展机遇</w:t>
          </w:r>
          <w:r>
            <w:rPr>
              <w:rFonts w:ascii="仿宋" w:hAnsi="仿宋" w:eastAsia="仿宋"/>
              <w:sz w:val="32"/>
              <w:szCs w:val="32"/>
            </w:rPr>
            <w:tab/>
          </w:r>
          <w:r>
            <w:rPr>
              <w:rFonts w:ascii="仿宋" w:hAnsi="仿宋" w:eastAsia="仿宋"/>
              <w:sz w:val="32"/>
              <w:szCs w:val="32"/>
            </w:rPr>
            <w:fldChar w:fldCharType="begin"/>
          </w:r>
          <w:r>
            <w:rPr>
              <w:rFonts w:ascii="仿宋" w:hAnsi="仿宋" w:eastAsia="仿宋"/>
              <w:sz w:val="32"/>
              <w:szCs w:val="32"/>
            </w:rPr>
            <w:instrText xml:space="preserve"> PAGEREF _Toc70524104 \h </w:instrText>
          </w:r>
          <w:r>
            <w:rPr>
              <w:rFonts w:ascii="仿宋" w:hAnsi="仿宋" w:eastAsia="仿宋"/>
              <w:sz w:val="32"/>
              <w:szCs w:val="32"/>
            </w:rPr>
            <w:fldChar w:fldCharType="separate"/>
          </w:r>
          <w:r>
            <w:rPr>
              <w:rFonts w:ascii="仿宋" w:hAnsi="仿宋" w:eastAsia="仿宋"/>
              <w:sz w:val="32"/>
              <w:szCs w:val="32"/>
            </w:rPr>
            <w:t>- 10 -</w:t>
          </w:r>
          <w:r>
            <w:rPr>
              <w:rFonts w:ascii="仿宋" w:hAnsi="仿宋" w:eastAsia="仿宋"/>
              <w:sz w:val="32"/>
              <w:szCs w:val="32"/>
            </w:rPr>
            <w:fldChar w:fldCharType="end"/>
          </w:r>
          <w:r>
            <w:rPr>
              <w:rFonts w:ascii="仿宋" w:hAnsi="仿宋" w:eastAsia="仿宋"/>
              <w:sz w:val="32"/>
              <w:szCs w:val="32"/>
            </w:rPr>
            <w:fldChar w:fldCharType="end"/>
          </w:r>
        </w:p>
        <w:p>
          <w:pPr>
            <w:pStyle w:val="11"/>
            <w:tabs>
              <w:tab w:val="right" w:leader="dot" w:pos="8390"/>
            </w:tabs>
            <w:adjustRightInd w:val="0"/>
            <w:snapToGrid w:val="0"/>
            <w:spacing w:line="580" w:lineRule="exact"/>
            <w:rPr>
              <w:rFonts w:ascii="仿宋" w:hAnsi="仿宋" w:eastAsia="仿宋"/>
              <w:sz w:val="32"/>
              <w:szCs w:val="32"/>
            </w:rPr>
          </w:pPr>
          <w:r>
            <w:fldChar w:fldCharType="begin"/>
          </w:r>
          <w:r>
            <w:instrText xml:space="preserve"> HYPERLINK \l "_Toc70524105" </w:instrText>
          </w:r>
          <w:r>
            <w:fldChar w:fldCharType="separate"/>
          </w:r>
          <w:r>
            <w:rPr>
              <w:rStyle w:val="18"/>
              <w:rFonts w:ascii="仿宋" w:hAnsi="仿宋" w:eastAsia="仿宋" w:cs="楷体_GB2312"/>
              <w:sz w:val="32"/>
              <w:szCs w:val="32"/>
            </w:rPr>
            <w:t>2.</w:t>
          </w:r>
          <w:r>
            <w:rPr>
              <w:rStyle w:val="18"/>
              <w:rFonts w:hint="eastAsia" w:ascii="仿宋" w:hAnsi="仿宋" w:eastAsia="仿宋" w:cs="楷体_GB2312"/>
              <w:sz w:val="32"/>
              <w:szCs w:val="32"/>
            </w:rPr>
            <w:t>面临挑战</w:t>
          </w:r>
          <w:r>
            <w:rPr>
              <w:rFonts w:ascii="仿宋" w:hAnsi="仿宋" w:eastAsia="仿宋"/>
              <w:sz w:val="32"/>
              <w:szCs w:val="32"/>
            </w:rPr>
            <w:tab/>
          </w:r>
          <w:r>
            <w:rPr>
              <w:rFonts w:ascii="仿宋" w:hAnsi="仿宋" w:eastAsia="仿宋"/>
              <w:sz w:val="32"/>
              <w:szCs w:val="32"/>
            </w:rPr>
            <w:fldChar w:fldCharType="begin"/>
          </w:r>
          <w:r>
            <w:rPr>
              <w:rFonts w:ascii="仿宋" w:hAnsi="仿宋" w:eastAsia="仿宋"/>
              <w:sz w:val="32"/>
              <w:szCs w:val="32"/>
            </w:rPr>
            <w:instrText xml:space="preserve"> PAGEREF _Toc70524105 \h </w:instrText>
          </w:r>
          <w:r>
            <w:rPr>
              <w:rFonts w:ascii="仿宋" w:hAnsi="仿宋" w:eastAsia="仿宋"/>
              <w:sz w:val="32"/>
              <w:szCs w:val="32"/>
            </w:rPr>
            <w:fldChar w:fldCharType="separate"/>
          </w:r>
          <w:r>
            <w:rPr>
              <w:rFonts w:ascii="仿宋" w:hAnsi="仿宋" w:eastAsia="仿宋"/>
              <w:sz w:val="32"/>
              <w:szCs w:val="32"/>
            </w:rPr>
            <w:t>- 11 -</w:t>
          </w:r>
          <w:r>
            <w:rPr>
              <w:rFonts w:ascii="仿宋" w:hAnsi="仿宋" w:eastAsia="仿宋"/>
              <w:sz w:val="32"/>
              <w:szCs w:val="32"/>
            </w:rPr>
            <w:fldChar w:fldCharType="end"/>
          </w:r>
          <w:r>
            <w:rPr>
              <w:rFonts w:ascii="仿宋" w:hAnsi="仿宋" w:eastAsia="仿宋"/>
              <w:sz w:val="32"/>
              <w:szCs w:val="32"/>
            </w:rPr>
            <w:fldChar w:fldCharType="end"/>
          </w:r>
        </w:p>
        <w:p>
          <w:pPr>
            <w:pStyle w:val="10"/>
            <w:tabs>
              <w:tab w:val="right" w:leader="dot" w:pos="8390"/>
            </w:tabs>
            <w:adjustRightInd w:val="0"/>
            <w:snapToGrid w:val="0"/>
            <w:spacing w:line="580" w:lineRule="exact"/>
            <w:rPr>
              <w:rFonts w:ascii="仿宋" w:hAnsi="仿宋" w:eastAsia="仿宋"/>
              <w:sz w:val="32"/>
              <w:szCs w:val="32"/>
            </w:rPr>
          </w:pPr>
          <w:r>
            <w:fldChar w:fldCharType="begin"/>
          </w:r>
          <w:r>
            <w:instrText xml:space="preserve"> HYPERLINK \l "_Toc70524106" </w:instrText>
          </w:r>
          <w:r>
            <w:fldChar w:fldCharType="separate"/>
          </w:r>
          <w:r>
            <w:rPr>
              <w:rStyle w:val="18"/>
              <w:rFonts w:hint="eastAsia" w:ascii="仿宋" w:hAnsi="仿宋" w:eastAsia="仿宋"/>
              <w:sz w:val="32"/>
              <w:szCs w:val="32"/>
            </w:rPr>
            <w:t>三、汇聚发展合力，谱写农业农村现代化新篇章</w:t>
          </w:r>
          <w:r>
            <w:rPr>
              <w:rFonts w:ascii="仿宋" w:hAnsi="仿宋" w:eastAsia="仿宋"/>
              <w:sz w:val="32"/>
              <w:szCs w:val="32"/>
            </w:rPr>
            <w:tab/>
          </w:r>
          <w:r>
            <w:rPr>
              <w:rFonts w:ascii="仿宋" w:hAnsi="仿宋" w:eastAsia="仿宋"/>
              <w:sz w:val="32"/>
              <w:szCs w:val="32"/>
            </w:rPr>
            <w:fldChar w:fldCharType="begin"/>
          </w:r>
          <w:r>
            <w:rPr>
              <w:rFonts w:ascii="仿宋" w:hAnsi="仿宋" w:eastAsia="仿宋"/>
              <w:sz w:val="32"/>
              <w:szCs w:val="32"/>
            </w:rPr>
            <w:instrText xml:space="preserve"> PAGEREF _Toc70524106 \h </w:instrText>
          </w:r>
          <w:r>
            <w:rPr>
              <w:rFonts w:ascii="仿宋" w:hAnsi="仿宋" w:eastAsia="仿宋"/>
              <w:sz w:val="32"/>
              <w:szCs w:val="32"/>
            </w:rPr>
            <w:fldChar w:fldCharType="separate"/>
          </w:r>
          <w:r>
            <w:rPr>
              <w:rFonts w:ascii="仿宋" w:hAnsi="仿宋" w:eastAsia="仿宋"/>
              <w:sz w:val="32"/>
              <w:szCs w:val="32"/>
            </w:rPr>
            <w:t>- 12 -</w:t>
          </w:r>
          <w:r>
            <w:rPr>
              <w:rFonts w:ascii="仿宋" w:hAnsi="仿宋" w:eastAsia="仿宋"/>
              <w:sz w:val="32"/>
              <w:szCs w:val="32"/>
            </w:rPr>
            <w:fldChar w:fldCharType="end"/>
          </w:r>
          <w:r>
            <w:rPr>
              <w:rFonts w:ascii="仿宋" w:hAnsi="仿宋" w:eastAsia="仿宋"/>
              <w:sz w:val="32"/>
              <w:szCs w:val="32"/>
            </w:rPr>
            <w:fldChar w:fldCharType="end"/>
          </w:r>
        </w:p>
        <w:p>
          <w:pPr>
            <w:pStyle w:val="11"/>
            <w:tabs>
              <w:tab w:val="right" w:leader="dot" w:pos="8390"/>
            </w:tabs>
            <w:adjustRightInd w:val="0"/>
            <w:snapToGrid w:val="0"/>
            <w:spacing w:line="580" w:lineRule="exact"/>
            <w:rPr>
              <w:rFonts w:ascii="仿宋" w:hAnsi="仿宋" w:eastAsia="仿宋"/>
              <w:sz w:val="32"/>
              <w:szCs w:val="32"/>
            </w:rPr>
          </w:pPr>
          <w:r>
            <w:fldChar w:fldCharType="begin"/>
          </w:r>
          <w:r>
            <w:instrText xml:space="preserve"> HYPERLINK \l "_Toc70524107" </w:instrText>
          </w:r>
          <w:r>
            <w:fldChar w:fldCharType="separate"/>
          </w:r>
          <w:r>
            <w:rPr>
              <w:rStyle w:val="18"/>
              <w:rFonts w:ascii="仿宋" w:hAnsi="仿宋" w:eastAsia="仿宋" w:cs="楷体_GB2312"/>
              <w:sz w:val="32"/>
              <w:szCs w:val="32"/>
            </w:rPr>
            <w:t>1.</w:t>
          </w:r>
          <w:r>
            <w:rPr>
              <w:rStyle w:val="18"/>
              <w:rFonts w:hint="eastAsia" w:ascii="仿宋" w:hAnsi="仿宋" w:eastAsia="仿宋" w:cs="楷体_GB2312"/>
              <w:sz w:val="32"/>
              <w:szCs w:val="32"/>
            </w:rPr>
            <w:t>指导思想</w:t>
          </w:r>
          <w:r>
            <w:rPr>
              <w:rFonts w:ascii="仿宋" w:hAnsi="仿宋" w:eastAsia="仿宋"/>
              <w:sz w:val="32"/>
              <w:szCs w:val="32"/>
            </w:rPr>
            <w:tab/>
          </w:r>
          <w:r>
            <w:rPr>
              <w:rFonts w:ascii="仿宋" w:hAnsi="仿宋" w:eastAsia="仿宋"/>
              <w:sz w:val="32"/>
              <w:szCs w:val="32"/>
            </w:rPr>
            <w:fldChar w:fldCharType="begin"/>
          </w:r>
          <w:r>
            <w:rPr>
              <w:rFonts w:ascii="仿宋" w:hAnsi="仿宋" w:eastAsia="仿宋"/>
              <w:sz w:val="32"/>
              <w:szCs w:val="32"/>
            </w:rPr>
            <w:instrText xml:space="preserve"> PAGEREF _Toc70524107 \h </w:instrText>
          </w:r>
          <w:r>
            <w:rPr>
              <w:rFonts w:ascii="仿宋" w:hAnsi="仿宋" w:eastAsia="仿宋"/>
              <w:sz w:val="32"/>
              <w:szCs w:val="32"/>
            </w:rPr>
            <w:fldChar w:fldCharType="separate"/>
          </w:r>
          <w:r>
            <w:rPr>
              <w:rFonts w:ascii="仿宋" w:hAnsi="仿宋" w:eastAsia="仿宋"/>
              <w:sz w:val="32"/>
              <w:szCs w:val="32"/>
            </w:rPr>
            <w:t>- 12 -</w:t>
          </w:r>
          <w:r>
            <w:rPr>
              <w:rFonts w:ascii="仿宋" w:hAnsi="仿宋" w:eastAsia="仿宋"/>
              <w:sz w:val="32"/>
              <w:szCs w:val="32"/>
            </w:rPr>
            <w:fldChar w:fldCharType="end"/>
          </w:r>
          <w:r>
            <w:rPr>
              <w:rFonts w:ascii="仿宋" w:hAnsi="仿宋" w:eastAsia="仿宋"/>
              <w:sz w:val="32"/>
              <w:szCs w:val="32"/>
            </w:rPr>
            <w:fldChar w:fldCharType="end"/>
          </w:r>
        </w:p>
        <w:p>
          <w:pPr>
            <w:pStyle w:val="11"/>
            <w:tabs>
              <w:tab w:val="right" w:leader="dot" w:pos="8390"/>
            </w:tabs>
            <w:adjustRightInd w:val="0"/>
            <w:snapToGrid w:val="0"/>
            <w:spacing w:line="580" w:lineRule="exact"/>
            <w:rPr>
              <w:rFonts w:ascii="仿宋" w:hAnsi="仿宋" w:eastAsia="仿宋"/>
              <w:sz w:val="32"/>
              <w:szCs w:val="32"/>
            </w:rPr>
          </w:pPr>
          <w:r>
            <w:fldChar w:fldCharType="begin"/>
          </w:r>
          <w:r>
            <w:instrText xml:space="preserve"> HYPERLINK \l "_Toc70524108" </w:instrText>
          </w:r>
          <w:r>
            <w:fldChar w:fldCharType="separate"/>
          </w:r>
          <w:r>
            <w:rPr>
              <w:rStyle w:val="18"/>
              <w:rFonts w:ascii="仿宋" w:hAnsi="仿宋" w:eastAsia="仿宋" w:cs="楷体_GB2312"/>
              <w:sz w:val="32"/>
              <w:szCs w:val="32"/>
            </w:rPr>
            <w:t>2.</w:t>
          </w:r>
          <w:r>
            <w:rPr>
              <w:rStyle w:val="18"/>
              <w:rFonts w:hint="eastAsia" w:ascii="仿宋" w:hAnsi="仿宋" w:eastAsia="仿宋" w:cs="楷体_GB2312"/>
              <w:sz w:val="32"/>
              <w:szCs w:val="32"/>
            </w:rPr>
            <w:t>发展原则</w:t>
          </w:r>
          <w:r>
            <w:rPr>
              <w:rFonts w:ascii="仿宋" w:hAnsi="仿宋" w:eastAsia="仿宋"/>
              <w:sz w:val="32"/>
              <w:szCs w:val="32"/>
            </w:rPr>
            <w:tab/>
          </w:r>
          <w:r>
            <w:rPr>
              <w:rFonts w:ascii="仿宋" w:hAnsi="仿宋" w:eastAsia="仿宋"/>
              <w:sz w:val="32"/>
              <w:szCs w:val="32"/>
            </w:rPr>
            <w:fldChar w:fldCharType="begin"/>
          </w:r>
          <w:r>
            <w:rPr>
              <w:rFonts w:ascii="仿宋" w:hAnsi="仿宋" w:eastAsia="仿宋"/>
              <w:sz w:val="32"/>
              <w:szCs w:val="32"/>
            </w:rPr>
            <w:instrText xml:space="preserve"> PAGEREF _Toc70524108 \h </w:instrText>
          </w:r>
          <w:r>
            <w:rPr>
              <w:rFonts w:ascii="仿宋" w:hAnsi="仿宋" w:eastAsia="仿宋"/>
              <w:sz w:val="32"/>
              <w:szCs w:val="32"/>
            </w:rPr>
            <w:fldChar w:fldCharType="separate"/>
          </w:r>
          <w:r>
            <w:rPr>
              <w:rFonts w:ascii="仿宋" w:hAnsi="仿宋" w:eastAsia="仿宋"/>
              <w:sz w:val="32"/>
              <w:szCs w:val="32"/>
            </w:rPr>
            <w:t>- 13 -</w:t>
          </w:r>
          <w:r>
            <w:rPr>
              <w:rFonts w:ascii="仿宋" w:hAnsi="仿宋" w:eastAsia="仿宋"/>
              <w:sz w:val="32"/>
              <w:szCs w:val="32"/>
            </w:rPr>
            <w:fldChar w:fldCharType="end"/>
          </w:r>
          <w:r>
            <w:rPr>
              <w:rFonts w:ascii="仿宋" w:hAnsi="仿宋" w:eastAsia="仿宋"/>
              <w:sz w:val="32"/>
              <w:szCs w:val="32"/>
            </w:rPr>
            <w:fldChar w:fldCharType="end"/>
          </w:r>
        </w:p>
        <w:p>
          <w:pPr>
            <w:pStyle w:val="11"/>
            <w:tabs>
              <w:tab w:val="right" w:leader="dot" w:pos="8390"/>
            </w:tabs>
            <w:adjustRightInd w:val="0"/>
            <w:snapToGrid w:val="0"/>
            <w:spacing w:line="580" w:lineRule="exact"/>
            <w:rPr>
              <w:rFonts w:ascii="仿宋" w:hAnsi="仿宋" w:eastAsia="仿宋"/>
              <w:sz w:val="32"/>
              <w:szCs w:val="32"/>
            </w:rPr>
          </w:pPr>
          <w:r>
            <w:fldChar w:fldCharType="begin"/>
          </w:r>
          <w:r>
            <w:instrText xml:space="preserve"> HYPERLINK \l "_Toc70524109" </w:instrText>
          </w:r>
          <w:r>
            <w:fldChar w:fldCharType="separate"/>
          </w:r>
          <w:r>
            <w:rPr>
              <w:rStyle w:val="18"/>
              <w:rFonts w:ascii="仿宋" w:hAnsi="仿宋" w:eastAsia="仿宋" w:cs="楷体_GB2312"/>
              <w:sz w:val="32"/>
              <w:szCs w:val="32"/>
            </w:rPr>
            <w:t>3.</w:t>
          </w:r>
          <w:r>
            <w:rPr>
              <w:rStyle w:val="18"/>
              <w:rFonts w:hint="eastAsia" w:ascii="仿宋" w:hAnsi="仿宋" w:eastAsia="仿宋" w:cs="楷体_GB2312"/>
              <w:sz w:val="32"/>
              <w:szCs w:val="32"/>
            </w:rPr>
            <w:t>发展目标</w:t>
          </w:r>
          <w:r>
            <w:rPr>
              <w:rFonts w:ascii="仿宋" w:hAnsi="仿宋" w:eastAsia="仿宋"/>
              <w:sz w:val="32"/>
              <w:szCs w:val="32"/>
            </w:rPr>
            <w:tab/>
          </w:r>
          <w:r>
            <w:rPr>
              <w:rFonts w:ascii="仿宋" w:hAnsi="仿宋" w:eastAsia="仿宋"/>
              <w:sz w:val="32"/>
              <w:szCs w:val="32"/>
            </w:rPr>
            <w:fldChar w:fldCharType="begin"/>
          </w:r>
          <w:r>
            <w:rPr>
              <w:rFonts w:ascii="仿宋" w:hAnsi="仿宋" w:eastAsia="仿宋"/>
              <w:sz w:val="32"/>
              <w:szCs w:val="32"/>
            </w:rPr>
            <w:instrText xml:space="preserve"> PAGEREF _Toc70524109 \h </w:instrText>
          </w:r>
          <w:r>
            <w:rPr>
              <w:rFonts w:ascii="仿宋" w:hAnsi="仿宋" w:eastAsia="仿宋"/>
              <w:sz w:val="32"/>
              <w:szCs w:val="32"/>
            </w:rPr>
            <w:fldChar w:fldCharType="separate"/>
          </w:r>
          <w:r>
            <w:rPr>
              <w:rFonts w:ascii="仿宋" w:hAnsi="仿宋" w:eastAsia="仿宋"/>
              <w:sz w:val="32"/>
              <w:szCs w:val="32"/>
            </w:rPr>
            <w:t>- 14 -</w:t>
          </w:r>
          <w:r>
            <w:rPr>
              <w:rFonts w:ascii="仿宋" w:hAnsi="仿宋" w:eastAsia="仿宋"/>
              <w:sz w:val="32"/>
              <w:szCs w:val="32"/>
            </w:rPr>
            <w:fldChar w:fldCharType="end"/>
          </w:r>
          <w:r>
            <w:rPr>
              <w:rFonts w:ascii="仿宋" w:hAnsi="仿宋" w:eastAsia="仿宋"/>
              <w:sz w:val="32"/>
              <w:szCs w:val="32"/>
            </w:rPr>
            <w:fldChar w:fldCharType="end"/>
          </w:r>
        </w:p>
        <w:p>
          <w:pPr>
            <w:pStyle w:val="11"/>
            <w:tabs>
              <w:tab w:val="right" w:leader="dot" w:pos="8390"/>
            </w:tabs>
            <w:adjustRightInd w:val="0"/>
            <w:snapToGrid w:val="0"/>
            <w:spacing w:line="580" w:lineRule="exact"/>
            <w:rPr>
              <w:rFonts w:ascii="仿宋" w:hAnsi="仿宋" w:eastAsia="仿宋"/>
              <w:sz w:val="32"/>
              <w:szCs w:val="32"/>
            </w:rPr>
          </w:pPr>
          <w:r>
            <w:rPr>
              <w:spacing w:val="-6"/>
            </w:rPr>
            <w:fldChar w:fldCharType="begin"/>
          </w:r>
          <w:r>
            <w:rPr>
              <w:spacing w:val="-6"/>
            </w:rPr>
            <w:instrText xml:space="preserve"> HYPERLINK \l "_Toc70524110" </w:instrText>
          </w:r>
          <w:r>
            <w:rPr>
              <w:spacing w:val="-6"/>
            </w:rPr>
            <w:fldChar w:fldCharType="separate"/>
          </w:r>
          <w:r>
            <w:rPr>
              <w:rStyle w:val="18"/>
              <w:rFonts w:hint="eastAsia" w:ascii="仿宋" w:hAnsi="仿宋" w:eastAsia="仿宋" w:cs="楷体"/>
              <w:bCs/>
              <w:spacing w:val="-6"/>
              <w:sz w:val="32"/>
              <w:szCs w:val="32"/>
            </w:rPr>
            <w:t>表</w:t>
          </w:r>
          <w:r>
            <w:rPr>
              <w:rStyle w:val="18"/>
              <w:rFonts w:ascii="仿宋" w:hAnsi="仿宋" w:eastAsia="仿宋" w:cs="楷体"/>
              <w:bCs/>
              <w:spacing w:val="-6"/>
              <w:sz w:val="32"/>
              <w:szCs w:val="32"/>
            </w:rPr>
            <w:t xml:space="preserve">1 </w:t>
          </w:r>
          <w:r>
            <w:rPr>
              <w:rStyle w:val="18"/>
              <w:rFonts w:hint="eastAsia" w:ascii="仿宋" w:hAnsi="仿宋" w:eastAsia="仿宋" w:cs="楷体"/>
              <w:bCs/>
              <w:spacing w:val="-6"/>
              <w:sz w:val="32"/>
              <w:szCs w:val="32"/>
            </w:rPr>
            <w:t>东丽区农业农村现代化“十四五”规划主要指标</w:t>
          </w:r>
          <w:r>
            <w:rPr>
              <w:rFonts w:ascii="仿宋" w:hAnsi="仿宋" w:eastAsia="仿宋"/>
              <w:spacing w:val="-6"/>
              <w:sz w:val="32"/>
              <w:szCs w:val="32"/>
            </w:rPr>
            <w:tab/>
          </w:r>
          <w:r>
            <w:rPr>
              <w:rFonts w:ascii="仿宋" w:hAnsi="仿宋" w:eastAsia="仿宋"/>
              <w:spacing w:val="-6"/>
              <w:sz w:val="32"/>
              <w:szCs w:val="32"/>
            </w:rPr>
            <w:fldChar w:fldCharType="begin"/>
          </w:r>
          <w:r>
            <w:rPr>
              <w:rFonts w:ascii="仿宋" w:hAnsi="仿宋" w:eastAsia="仿宋"/>
              <w:spacing w:val="-6"/>
              <w:sz w:val="32"/>
              <w:szCs w:val="32"/>
            </w:rPr>
            <w:instrText xml:space="preserve"> PAGEREF _Toc70524110 \h </w:instrText>
          </w:r>
          <w:r>
            <w:rPr>
              <w:rFonts w:ascii="仿宋" w:hAnsi="仿宋" w:eastAsia="仿宋"/>
              <w:spacing w:val="-6"/>
              <w:sz w:val="32"/>
              <w:szCs w:val="32"/>
            </w:rPr>
            <w:fldChar w:fldCharType="separate"/>
          </w:r>
          <w:r>
            <w:rPr>
              <w:rFonts w:ascii="仿宋" w:hAnsi="仿宋" w:eastAsia="仿宋"/>
              <w:spacing w:val="-6"/>
              <w:sz w:val="32"/>
              <w:szCs w:val="32"/>
            </w:rPr>
            <w:t>- 16 -</w:t>
          </w:r>
          <w:r>
            <w:rPr>
              <w:rFonts w:ascii="仿宋" w:hAnsi="仿宋" w:eastAsia="仿宋"/>
              <w:spacing w:val="-6"/>
              <w:sz w:val="32"/>
              <w:szCs w:val="32"/>
            </w:rPr>
            <w:fldChar w:fldCharType="end"/>
          </w:r>
          <w:r>
            <w:rPr>
              <w:rFonts w:ascii="仿宋" w:hAnsi="仿宋" w:eastAsia="仿宋"/>
              <w:spacing w:val="-6"/>
              <w:sz w:val="32"/>
              <w:szCs w:val="32"/>
            </w:rPr>
            <w:fldChar w:fldCharType="end"/>
          </w:r>
        </w:p>
        <w:p>
          <w:pPr>
            <w:pStyle w:val="10"/>
            <w:tabs>
              <w:tab w:val="right" w:leader="dot" w:pos="8390"/>
            </w:tabs>
            <w:adjustRightInd w:val="0"/>
            <w:snapToGrid w:val="0"/>
            <w:spacing w:line="580" w:lineRule="exact"/>
            <w:rPr>
              <w:rFonts w:ascii="仿宋" w:hAnsi="仿宋" w:eastAsia="仿宋"/>
              <w:sz w:val="32"/>
              <w:szCs w:val="32"/>
            </w:rPr>
          </w:pPr>
          <w:r>
            <w:fldChar w:fldCharType="begin"/>
          </w:r>
          <w:r>
            <w:instrText xml:space="preserve"> HYPERLINK \l "_Toc70524111" </w:instrText>
          </w:r>
          <w:r>
            <w:fldChar w:fldCharType="separate"/>
          </w:r>
          <w:r>
            <w:rPr>
              <w:rStyle w:val="18"/>
              <w:rFonts w:hint="eastAsia" w:ascii="仿宋" w:hAnsi="仿宋" w:eastAsia="仿宋"/>
              <w:sz w:val="32"/>
              <w:szCs w:val="32"/>
            </w:rPr>
            <w:t>四、聚焦产业融合，构建都市农业高质量发展格局</w:t>
          </w:r>
          <w:r>
            <w:rPr>
              <w:rFonts w:ascii="仿宋" w:hAnsi="仿宋" w:eastAsia="仿宋"/>
              <w:sz w:val="32"/>
              <w:szCs w:val="32"/>
            </w:rPr>
            <w:tab/>
          </w:r>
          <w:r>
            <w:rPr>
              <w:rFonts w:ascii="仿宋" w:hAnsi="仿宋" w:eastAsia="仿宋"/>
              <w:sz w:val="32"/>
              <w:szCs w:val="32"/>
            </w:rPr>
            <w:fldChar w:fldCharType="begin"/>
          </w:r>
          <w:r>
            <w:rPr>
              <w:rFonts w:ascii="仿宋" w:hAnsi="仿宋" w:eastAsia="仿宋"/>
              <w:sz w:val="32"/>
              <w:szCs w:val="32"/>
            </w:rPr>
            <w:instrText xml:space="preserve"> PAGEREF _Toc70524111 \h </w:instrText>
          </w:r>
          <w:r>
            <w:rPr>
              <w:rFonts w:ascii="仿宋" w:hAnsi="仿宋" w:eastAsia="仿宋"/>
              <w:sz w:val="32"/>
              <w:szCs w:val="32"/>
            </w:rPr>
            <w:fldChar w:fldCharType="separate"/>
          </w:r>
          <w:r>
            <w:rPr>
              <w:rFonts w:ascii="仿宋" w:hAnsi="仿宋" w:eastAsia="仿宋"/>
              <w:sz w:val="32"/>
              <w:szCs w:val="32"/>
            </w:rPr>
            <w:t>- 17 -</w:t>
          </w:r>
          <w:r>
            <w:rPr>
              <w:rFonts w:ascii="仿宋" w:hAnsi="仿宋" w:eastAsia="仿宋"/>
              <w:sz w:val="32"/>
              <w:szCs w:val="32"/>
            </w:rPr>
            <w:fldChar w:fldCharType="end"/>
          </w:r>
          <w:r>
            <w:rPr>
              <w:rFonts w:ascii="仿宋" w:hAnsi="仿宋" w:eastAsia="仿宋"/>
              <w:sz w:val="32"/>
              <w:szCs w:val="32"/>
            </w:rPr>
            <w:fldChar w:fldCharType="end"/>
          </w:r>
        </w:p>
        <w:p>
          <w:pPr>
            <w:pStyle w:val="11"/>
            <w:tabs>
              <w:tab w:val="right" w:leader="dot" w:pos="8390"/>
            </w:tabs>
            <w:adjustRightInd w:val="0"/>
            <w:snapToGrid w:val="0"/>
            <w:spacing w:line="580" w:lineRule="exact"/>
            <w:rPr>
              <w:rFonts w:ascii="仿宋" w:hAnsi="仿宋" w:eastAsia="仿宋"/>
              <w:sz w:val="32"/>
              <w:szCs w:val="32"/>
            </w:rPr>
          </w:pPr>
          <w:r>
            <w:fldChar w:fldCharType="begin"/>
          </w:r>
          <w:r>
            <w:instrText xml:space="preserve"> HYPERLINK \l "_Toc70524112" </w:instrText>
          </w:r>
          <w:r>
            <w:fldChar w:fldCharType="separate"/>
          </w:r>
          <w:r>
            <w:rPr>
              <w:rStyle w:val="18"/>
              <w:rFonts w:ascii="仿宋" w:hAnsi="仿宋" w:eastAsia="仿宋" w:cs="楷体_GB2312"/>
              <w:sz w:val="32"/>
              <w:szCs w:val="32"/>
            </w:rPr>
            <w:t>1.</w:t>
          </w:r>
          <w:r>
            <w:rPr>
              <w:rStyle w:val="18"/>
              <w:rFonts w:hint="eastAsia" w:ascii="仿宋" w:hAnsi="仿宋" w:eastAsia="仿宋" w:cs="楷体_GB2312"/>
              <w:sz w:val="32"/>
              <w:szCs w:val="32"/>
            </w:rPr>
            <w:t>立足高端需求，提升农业现代化产业体系水平</w:t>
          </w:r>
          <w:r>
            <w:rPr>
              <w:rFonts w:ascii="仿宋" w:hAnsi="仿宋" w:eastAsia="仿宋"/>
              <w:sz w:val="32"/>
              <w:szCs w:val="32"/>
            </w:rPr>
            <w:tab/>
          </w:r>
          <w:r>
            <w:rPr>
              <w:rFonts w:ascii="仿宋" w:hAnsi="仿宋" w:eastAsia="仿宋"/>
              <w:sz w:val="32"/>
              <w:szCs w:val="32"/>
            </w:rPr>
            <w:fldChar w:fldCharType="begin"/>
          </w:r>
          <w:r>
            <w:rPr>
              <w:rFonts w:ascii="仿宋" w:hAnsi="仿宋" w:eastAsia="仿宋"/>
              <w:sz w:val="32"/>
              <w:szCs w:val="32"/>
            </w:rPr>
            <w:instrText xml:space="preserve"> PAGEREF _Toc70524112 \h </w:instrText>
          </w:r>
          <w:r>
            <w:rPr>
              <w:rFonts w:ascii="仿宋" w:hAnsi="仿宋" w:eastAsia="仿宋"/>
              <w:sz w:val="32"/>
              <w:szCs w:val="32"/>
            </w:rPr>
            <w:fldChar w:fldCharType="separate"/>
          </w:r>
          <w:r>
            <w:rPr>
              <w:rFonts w:ascii="仿宋" w:hAnsi="仿宋" w:eastAsia="仿宋"/>
              <w:sz w:val="32"/>
              <w:szCs w:val="32"/>
            </w:rPr>
            <w:t>- 17 -</w:t>
          </w:r>
          <w:r>
            <w:rPr>
              <w:rFonts w:ascii="仿宋" w:hAnsi="仿宋" w:eastAsia="仿宋"/>
              <w:sz w:val="32"/>
              <w:szCs w:val="32"/>
            </w:rPr>
            <w:fldChar w:fldCharType="end"/>
          </w:r>
          <w:r>
            <w:rPr>
              <w:rFonts w:ascii="仿宋" w:hAnsi="仿宋" w:eastAsia="仿宋"/>
              <w:sz w:val="32"/>
              <w:szCs w:val="32"/>
            </w:rPr>
            <w:fldChar w:fldCharType="end"/>
          </w:r>
        </w:p>
        <w:p>
          <w:pPr>
            <w:pStyle w:val="11"/>
            <w:tabs>
              <w:tab w:val="right" w:leader="dot" w:pos="8390"/>
            </w:tabs>
            <w:adjustRightInd w:val="0"/>
            <w:snapToGrid w:val="0"/>
            <w:spacing w:line="580" w:lineRule="exact"/>
            <w:rPr>
              <w:rFonts w:ascii="仿宋" w:hAnsi="仿宋" w:eastAsia="仿宋"/>
              <w:sz w:val="32"/>
              <w:szCs w:val="32"/>
            </w:rPr>
          </w:pPr>
          <w:r>
            <w:fldChar w:fldCharType="begin"/>
          </w:r>
          <w:r>
            <w:instrText xml:space="preserve"> HYPERLINK \l "_Toc70524113" </w:instrText>
          </w:r>
          <w:r>
            <w:fldChar w:fldCharType="separate"/>
          </w:r>
          <w:r>
            <w:rPr>
              <w:rStyle w:val="18"/>
              <w:rFonts w:ascii="仿宋" w:hAnsi="仿宋" w:eastAsia="仿宋" w:cs="楷体_GB2312"/>
              <w:sz w:val="32"/>
              <w:szCs w:val="32"/>
            </w:rPr>
            <w:t>2.</w:t>
          </w:r>
          <w:r>
            <w:rPr>
              <w:rStyle w:val="18"/>
              <w:rFonts w:hint="eastAsia" w:ascii="仿宋" w:hAnsi="仿宋" w:eastAsia="仿宋" w:cs="楷体_GB2312"/>
              <w:sz w:val="32"/>
              <w:szCs w:val="32"/>
            </w:rPr>
            <w:t>强化主体培育，推动现代化经营体系建设</w:t>
          </w:r>
          <w:r>
            <w:rPr>
              <w:rFonts w:ascii="仿宋" w:hAnsi="仿宋" w:eastAsia="仿宋"/>
              <w:sz w:val="32"/>
              <w:szCs w:val="32"/>
            </w:rPr>
            <w:tab/>
          </w:r>
          <w:r>
            <w:rPr>
              <w:rFonts w:ascii="仿宋" w:hAnsi="仿宋" w:eastAsia="仿宋"/>
              <w:sz w:val="32"/>
              <w:szCs w:val="32"/>
            </w:rPr>
            <w:fldChar w:fldCharType="begin"/>
          </w:r>
          <w:r>
            <w:rPr>
              <w:rFonts w:ascii="仿宋" w:hAnsi="仿宋" w:eastAsia="仿宋"/>
              <w:sz w:val="32"/>
              <w:szCs w:val="32"/>
            </w:rPr>
            <w:instrText xml:space="preserve"> PAGEREF _Toc70524113 \h </w:instrText>
          </w:r>
          <w:r>
            <w:rPr>
              <w:rFonts w:ascii="仿宋" w:hAnsi="仿宋" w:eastAsia="仿宋"/>
              <w:sz w:val="32"/>
              <w:szCs w:val="32"/>
            </w:rPr>
            <w:fldChar w:fldCharType="separate"/>
          </w:r>
          <w:r>
            <w:rPr>
              <w:rFonts w:ascii="仿宋" w:hAnsi="仿宋" w:eastAsia="仿宋"/>
              <w:sz w:val="32"/>
              <w:szCs w:val="32"/>
            </w:rPr>
            <w:t>- 19 -</w:t>
          </w:r>
          <w:r>
            <w:rPr>
              <w:rFonts w:ascii="仿宋" w:hAnsi="仿宋" w:eastAsia="仿宋"/>
              <w:sz w:val="32"/>
              <w:szCs w:val="32"/>
            </w:rPr>
            <w:fldChar w:fldCharType="end"/>
          </w:r>
          <w:r>
            <w:rPr>
              <w:rFonts w:ascii="仿宋" w:hAnsi="仿宋" w:eastAsia="仿宋"/>
              <w:sz w:val="32"/>
              <w:szCs w:val="32"/>
            </w:rPr>
            <w:fldChar w:fldCharType="end"/>
          </w:r>
        </w:p>
        <w:p>
          <w:pPr>
            <w:pStyle w:val="11"/>
            <w:tabs>
              <w:tab w:val="right" w:leader="dot" w:pos="8390"/>
            </w:tabs>
            <w:adjustRightInd w:val="0"/>
            <w:snapToGrid w:val="0"/>
            <w:spacing w:line="580" w:lineRule="exact"/>
            <w:rPr>
              <w:rFonts w:ascii="仿宋" w:hAnsi="仿宋" w:eastAsia="仿宋"/>
              <w:sz w:val="32"/>
              <w:szCs w:val="32"/>
            </w:rPr>
          </w:pPr>
          <w:r>
            <w:fldChar w:fldCharType="begin"/>
          </w:r>
          <w:r>
            <w:instrText xml:space="preserve"> HYPERLINK \l "_Toc70524114" </w:instrText>
          </w:r>
          <w:r>
            <w:fldChar w:fldCharType="separate"/>
          </w:r>
          <w:r>
            <w:rPr>
              <w:rStyle w:val="18"/>
              <w:rFonts w:ascii="仿宋" w:hAnsi="仿宋" w:eastAsia="仿宋" w:cs="楷体_GB2312"/>
              <w:sz w:val="32"/>
              <w:szCs w:val="32"/>
            </w:rPr>
            <w:t>3.</w:t>
          </w:r>
          <w:r>
            <w:rPr>
              <w:rStyle w:val="18"/>
              <w:rFonts w:hint="eastAsia" w:ascii="仿宋" w:hAnsi="仿宋" w:eastAsia="仿宋" w:cs="楷体_GB2312"/>
              <w:sz w:val="32"/>
              <w:szCs w:val="32"/>
            </w:rPr>
            <w:t>探索模式创新，促进现代化服务体系完善</w:t>
          </w:r>
          <w:r>
            <w:rPr>
              <w:rFonts w:ascii="仿宋" w:hAnsi="仿宋" w:eastAsia="仿宋"/>
              <w:sz w:val="32"/>
              <w:szCs w:val="32"/>
            </w:rPr>
            <w:tab/>
          </w:r>
          <w:r>
            <w:rPr>
              <w:rFonts w:ascii="仿宋" w:hAnsi="仿宋" w:eastAsia="仿宋"/>
              <w:sz w:val="32"/>
              <w:szCs w:val="32"/>
            </w:rPr>
            <w:fldChar w:fldCharType="begin"/>
          </w:r>
          <w:r>
            <w:rPr>
              <w:rFonts w:ascii="仿宋" w:hAnsi="仿宋" w:eastAsia="仿宋"/>
              <w:sz w:val="32"/>
              <w:szCs w:val="32"/>
            </w:rPr>
            <w:instrText xml:space="preserve"> PAGEREF _Toc70524114 \h </w:instrText>
          </w:r>
          <w:r>
            <w:rPr>
              <w:rFonts w:ascii="仿宋" w:hAnsi="仿宋" w:eastAsia="仿宋"/>
              <w:sz w:val="32"/>
              <w:szCs w:val="32"/>
            </w:rPr>
            <w:fldChar w:fldCharType="separate"/>
          </w:r>
          <w:r>
            <w:rPr>
              <w:rFonts w:ascii="仿宋" w:hAnsi="仿宋" w:eastAsia="仿宋"/>
              <w:sz w:val="32"/>
              <w:szCs w:val="32"/>
            </w:rPr>
            <w:t>- 20 -</w:t>
          </w:r>
          <w:r>
            <w:rPr>
              <w:rFonts w:ascii="仿宋" w:hAnsi="仿宋" w:eastAsia="仿宋"/>
              <w:sz w:val="32"/>
              <w:szCs w:val="32"/>
            </w:rPr>
            <w:fldChar w:fldCharType="end"/>
          </w:r>
          <w:r>
            <w:rPr>
              <w:rFonts w:ascii="仿宋" w:hAnsi="仿宋" w:eastAsia="仿宋"/>
              <w:sz w:val="32"/>
              <w:szCs w:val="32"/>
            </w:rPr>
            <w:fldChar w:fldCharType="end"/>
          </w:r>
        </w:p>
        <w:p>
          <w:pPr>
            <w:pStyle w:val="11"/>
            <w:tabs>
              <w:tab w:val="right" w:leader="dot" w:pos="8390"/>
            </w:tabs>
            <w:adjustRightInd w:val="0"/>
            <w:snapToGrid w:val="0"/>
            <w:spacing w:line="580" w:lineRule="exact"/>
            <w:rPr>
              <w:rFonts w:ascii="仿宋" w:hAnsi="仿宋" w:eastAsia="仿宋"/>
              <w:sz w:val="32"/>
              <w:szCs w:val="32"/>
            </w:rPr>
          </w:pPr>
          <w:r>
            <w:fldChar w:fldCharType="begin"/>
          </w:r>
          <w:r>
            <w:instrText xml:space="preserve"> HYPERLINK \l "_Toc70524115" </w:instrText>
          </w:r>
          <w:r>
            <w:fldChar w:fldCharType="separate"/>
          </w:r>
          <w:r>
            <w:rPr>
              <w:rStyle w:val="18"/>
              <w:rFonts w:hint="eastAsia" w:ascii="仿宋" w:hAnsi="仿宋" w:eastAsia="仿宋" w:cs="楷体"/>
              <w:bCs/>
              <w:sz w:val="32"/>
              <w:szCs w:val="32"/>
            </w:rPr>
            <w:t>专栏</w:t>
          </w:r>
          <w:r>
            <w:rPr>
              <w:rStyle w:val="18"/>
              <w:rFonts w:ascii="仿宋" w:hAnsi="仿宋" w:eastAsia="仿宋" w:cs="楷体"/>
              <w:bCs/>
              <w:sz w:val="32"/>
              <w:szCs w:val="32"/>
            </w:rPr>
            <w:t xml:space="preserve">1 </w:t>
          </w:r>
          <w:r>
            <w:rPr>
              <w:rStyle w:val="18"/>
              <w:rFonts w:hint="eastAsia" w:ascii="仿宋" w:hAnsi="仿宋" w:eastAsia="仿宋" w:cs="楷体"/>
              <w:bCs/>
              <w:sz w:val="32"/>
              <w:szCs w:val="32"/>
            </w:rPr>
            <w:t>都市农业高质量发展重点工程</w:t>
          </w:r>
          <w:r>
            <w:rPr>
              <w:rFonts w:ascii="仿宋" w:hAnsi="仿宋" w:eastAsia="仿宋"/>
              <w:sz w:val="32"/>
              <w:szCs w:val="32"/>
            </w:rPr>
            <w:tab/>
          </w:r>
          <w:r>
            <w:rPr>
              <w:rFonts w:ascii="仿宋" w:hAnsi="仿宋" w:eastAsia="仿宋"/>
              <w:sz w:val="32"/>
              <w:szCs w:val="32"/>
            </w:rPr>
            <w:fldChar w:fldCharType="begin"/>
          </w:r>
          <w:r>
            <w:rPr>
              <w:rFonts w:ascii="仿宋" w:hAnsi="仿宋" w:eastAsia="仿宋"/>
              <w:sz w:val="32"/>
              <w:szCs w:val="32"/>
            </w:rPr>
            <w:instrText xml:space="preserve"> PAGEREF _Toc70524115 \h </w:instrText>
          </w:r>
          <w:r>
            <w:rPr>
              <w:rFonts w:ascii="仿宋" w:hAnsi="仿宋" w:eastAsia="仿宋"/>
              <w:sz w:val="32"/>
              <w:szCs w:val="32"/>
            </w:rPr>
            <w:fldChar w:fldCharType="separate"/>
          </w:r>
          <w:r>
            <w:rPr>
              <w:rFonts w:ascii="仿宋" w:hAnsi="仿宋" w:eastAsia="仿宋"/>
              <w:sz w:val="32"/>
              <w:szCs w:val="32"/>
            </w:rPr>
            <w:t>- 21 -</w:t>
          </w:r>
          <w:r>
            <w:rPr>
              <w:rFonts w:ascii="仿宋" w:hAnsi="仿宋" w:eastAsia="仿宋"/>
              <w:sz w:val="32"/>
              <w:szCs w:val="32"/>
            </w:rPr>
            <w:fldChar w:fldCharType="end"/>
          </w:r>
          <w:r>
            <w:rPr>
              <w:rFonts w:ascii="仿宋" w:hAnsi="仿宋" w:eastAsia="仿宋"/>
              <w:sz w:val="32"/>
              <w:szCs w:val="32"/>
            </w:rPr>
            <w:fldChar w:fldCharType="end"/>
          </w:r>
        </w:p>
        <w:p>
          <w:pPr>
            <w:pStyle w:val="10"/>
            <w:tabs>
              <w:tab w:val="right" w:leader="dot" w:pos="8390"/>
            </w:tabs>
            <w:adjustRightInd w:val="0"/>
            <w:snapToGrid w:val="0"/>
            <w:spacing w:line="580" w:lineRule="exact"/>
            <w:rPr>
              <w:rFonts w:ascii="仿宋" w:hAnsi="仿宋" w:eastAsia="仿宋"/>
              <w:sz w:val="32"/>
              <w:szCs w:val="32"/>
            </w:rPr>
          </w:pPr>
          <w:r>
            <w:fldChar w:fldCharType="begin"/>
          </w:r>
          <w:r>
            <w:instrText xml:space="preserve"> HYPERLINK \l "_Toc70524116" </w:instrText>
          </w:r>
          <w:r>
            <w:fldChar w:fldCharType="separate"/>
          </w:r>
          <w:r>
            <w:rPr>
              <w:rStyle w:val="18"/>
              <w:rFonts w:hint="eastAsia" w:ascii="仿宋" w:hAnsi="仿宋" w:eastAsia="仿宋"/>
              <w:sz w:val="32"/>
              <w:szCs w:val="32"/>
            </w:rPr>
            <w:t>五、践行绿色发展，持续改善生态环境和人居环境</w:t>
          </w:r>
          <w:r>
            <w:rPr>
              <w:rFonts w:ascii="仿宋" w:hAnsi="仿宋" w:eastAsia="仿宋"/>
              <w:sz w:val="32"/>
              <w:szCs w:val="32"/>
            </w:rPr>
            <w:tab/>
          </w:r>
          <w:r>
            <w:rPr>
              <w:rFonts w:ascii="仿宋" w:hAnsi="仿宋" w:eastAsia="仿宋"/>
              <w:sz w:val="32"/>
              <w:szCs w:val="32"/>
            </w:rPr>
            <w:fldChar w:fldCharType="begin"/>
          </w:r>
          <w:r>
            <w:rPr>
              <w:rFonts w:ascii="仿宋" w:hAnsi="仿宋" w:eastAsia="仿宋"/>
              <w:sz w:val="32"/>
              <w:szCs w:val="32"/>
            </w:rPr>
            <w:instrText xml:space="preserve"> PAGEREF _Toc70524116 \h </w:instrText>
          </w:r>
          <w:r>
            <w:rPr>
              <w:rFonts w:ascii="仿宋" w:hAnsi="仿宋" w:eastAsia="仿宋"/>
              <w:sz w:val="32"/>
              <w:szCs w:val="32"/>
            </w:rPr>
            <w:fldChar w:fldCharType="separate"/>
          </w:r>
          <w:r>
            <w:rPr>
              <w:rFonts w:ascii="仿宋" w:hAnsi="仿宋" w:eastAsia="仿宋"/>
              <w:sz w:val="32"/>
              <w:szCs w:val="32"/>
            </w:rPr>
            <w:t>- 22 -</w:t>
          </w:r>
          <w:r>
            <w:rPr>
              <w:rFonts w:ascii="仿宋" w:hAnsi="仿宋" w:eastAsia="仿宋"/>
              <w:sz w:val="32"/>
              <w:szCs w:val="32"/>
            </w:rPr>
            <w:fldChar w:fldCharType="end"/>
          </w:r>
          <w:r>
            <w:rPr>
              <w:rFonts w:ascii="仿宋" w:hAnsi="仿宋" w:eastAsia="仿宋"/>
              <w:sz w:val="32"/>
              <w:szCs w:val="32"/>
            </w:rPr>
            <w:fldChar w:fldCharType="end"/>
          </w:r>
        </w:p>
        <w:p>
          <w:pPr>
            <w:pStyle w:val="11"/>
            <w:tabs>
              <w:tab w:val="right" w:leader="dot" w:pos="8390"/>
            </w:tabs>
            <w:adjustRightInd w:val="0"/>
            <w:snapToGrid w:val="0"/>
            <w:spacing w:line="580" w:lineRule="exact"/>
            <w:rPr>
              <w:rFonts w:ascii="仿宋" w:hAnsi="仿宋" w:eastAsia="仿宋"/>
              <w:sz w:val="32"/>
              <w:szCs w:val="32"/>
            </w:rPr>
          </w:pPr>
          <w:r>
            <w:fldChar w:fldCharType="begin"/>
          </w:r>
          <w:r>
            <w:instrText xml:space="preserve"> HYPERLINK \l "_Toc70524117" </w:instrText>
          </w:r>
          <w:r>
            <w:fldChar w:fldCharType="separate"/>
          </w:r>
          <w:r>
            <w:rPr>
              <w:rStyle w:val="18"/>
              <w:rFonts w:ascii="仿宋" w:hAnsi="仿宋" w:eastAsia="仿宋" w:cs="楷体_GB2312"/>
              <w:sz w:val="32"/>
              <w:szCs w:val="32"/>
            </w:rPr>
            <w:t>1.</w:t>
          </w:r>
          <w:r>
            <w:rPr>
              <w:rStyle w:val="18"/>
              <w:rFonts w:hint="eastAsia" w:ascii="仿宋" w:hAnsi="仿宋" w:eastAsia="仿宋" w:cs="楷体_GB2312"/>
              <w:sz w:val="32"/>
              <w:szCs w:val="32"/>
            </w:rPr>
            <w:t>推进绿色生态屏障建设，打造生态高地</w:t>
          </w:r>
          <w:r>
            <w:rPr>
              <w:rFonts w:ascii="仿宋" w:hAnsi="仿宋" w:eastAsia="仿宋"/>
              <w:sz w:val="32"/>
              <w:szCs w:val="32"/>
            </w:rPr>
            <w:tab/>
          </w:r>
          <w:r>
            <w:rPr>
              <w:rFonts w:ascii="仿宋" w:hAnsi="仿宋" w:eastAsia="仿宋"/>
              <w:sz w:val="32"/>
              <w:szCs w:val="32"/>
            </w:rPr>
            <w:fldChar w:fldCharType="begin"/>
          </w:r>
          <w:r>
            <w:rPr>
              <w:rFonts w:ascii="仿宋" w:hAnsi="仿宋" w:eastAsia="仿宋"/>
              <w:sz w:val="32"/>
              <w:szCs w:val="32"/>
            </w:rPr>
            <w:instrText xml:space="preserve"> PAGEREF _Toc70524117 \h </w:instrText>
          </w:r>
          <w:r>
            <w:rPr>
              <w:rFonts w:ascii="仿宋" w:hAnsi="仿宋" w:eastAsia="仿宋"/>
              <w:sz w:val="32"/>
              <w:szCs w:val="32"/>
            </w:rPr>
            <w:fldChar w:fldCharType="separate"/>
          </w:r>
          <w:r>
            <w:rPr>
              <w:rFonts w:ascii="仿宋" w:hAnsi="仿宋" w:eastAsia="仿宋"/>
              <w:sz w:val="32"/>
              <w:szCs w:val="32"/>
            </w:rPr>
            <w:t>- 23 -</w:t>
          </w:r>
          <w:r>
            <w:rPr>
              <w:rFonts w:ascii="仿宋" w:hAnsi="仿宋" w:eastAsia="仿宋"/>
              <w:sz w:val="32"/>
              <w:szCs w:val="32"/>
            </w:rPr>
            <w:fldChar w:fldCharType="end"/>
          </w:r>
          <w:r>
            <w:rPr>
              <w:rFonts w:ascii="仿宋" w:hAnsi="仿宋" w:eastAsia="仿宋"/>
              <w:sz w:val="32"/>
              <w:szCs w:val="32"/>
            </w:rPr>
            <w:fldChar w:fldCharType="end"/>
          </w:r>
        </w:p>
        <w:p>
          <w:pPr>
            <w:pStyle w:val="11"/>
            <w:tabs>
              <w:tab w:val="right" w:leader="dot" w:pos="8390"/>
            </w:tabs>
            <w:adjustRightInd w:val="0"/>
            <w:snapToGrid w:val="0"/>
            <w:spacing w:line="580" w:lineRule="exact"/>
            <w:rPr>
              <w:rFonts w:ascii="仿宋" w:hAnsi="仿宋" w:eastAsia="仿宋"/>
              <w:sz w:val="32"/>
              <w:szCs w:val="32"/>
            </w:rPr>
          </w:pPr>
          <w:r>
            <w:fldChar w:fldCharType="begin"/>
          </w:r>
          <w:r>
            <w:instrText xml:space="preserve"> HYPERLINK \l "_Toc70524118" </w:instrText>
          </w:r>
          <w:r>
            <w:fldChar w:fldCharType="separate"/>
          </w:r>
          <w:r>
            <w:rPr>
              <w:rStyle w:val="18"/>
              <w:rFonts w:ascii="仿宋" w:hAnsi="仿宋" w:eastAsia="仿宋" w:cs="楷体_GB2312"/>
              <w:sz w:val="32"/>
              <w:szCs w:val="32"/>
            </w:rPr>
            <w:t>2.</w:t>
          </w:r>
          <w:r>
            <w:rPr>
              <w:rStyle w:val="18"/>
              <w:rFonts w:hint="eastAsia" w:ascii="仿宋" w:hAnsi="仿宋" w:eastAsia="仿宋" w:cs="楷体_GB2312"/>
              <w:sz w:val="32"/>
              <w:szCs w:val="32"/>
            </w:rPr>
            <w:t>加强水生态环境治理，提升生态价值</w:t>
          </w:r>
          <w:r>
            <w:rPr>
              <w:rFonts w:ascii="仿宋" w:hAnsi="仿宋" w:eastAsia="仿宋"/>
              <w:sz w:val="32"/>
              <w:szCs w:val="32"/>
            </w:rPr>
            <w:tab/>
          </w:r>
          <w:r>
            <w:rPr>
              <w:rFonts w:ascii="仿宋" w:hAnsi="仿宋" w:eastAsia="仿宋"/>
              <w:sz w:val="32"/>
              <w:szCs w:val="32"/>
            </w:rPr>
            <w:fldChar w:fldCharType="begin"/>
          </w:r>
          <w:r>
            <w:rPr>
              <w:rFonts w:ascii="仿宋" w:hAnsi="仿宋" w:eastAsia="仿宋"/>
              <w:sz w:val="32"/>
              <w:szCs w:val="32"/>
            </w:rPr>
            <w:instrText xml:space="preserve"> PAGEREF _Toc70524118 \h </w:instrText>
          </w:r>
          <w:r>
            <w:rPr>
              <w:rFonts w:ascii="仿宋" w:hAnsi="仿宋" w:eastAsia="仿宋"/>
              <w:sz w:val="32"/>
              <w:szCs w:val="32"/>
            </w:rPr>
            <w:fldChar w:fldCharType="separate"/>
          </w:r>
          <w:r>
            <w:rPr>
              <w:rFonts w:ascii="仿宋" w:hAnsi="仿宋" w:eastAsia="仿宋"/>
              <w:sz w:val="32"/>
              <w:szCs w:val="32"/>
            </w:rPr>
            <w:t>- 23 -</w:t>
          </w:r>
          <w:r>
            <w:rPr>
              <w:rFonts w:ascii="仿宋" w:hAnsi="仿宋" w:eastAsia="仿宋"/>
              <w:sz w:val="32"/>
              <w:szCs w:val="32"/>
            </w:rPr>
            <w:fldChar w:fldCharType="end"/>
          </w:r>
          <w:r>
            <w:rPr>
              <w:rFonts w:ascii="仿宋" w:hAnsi="仿宋" w:eastAsia="仿宋"/>
              <w:sz w:val="32"/>
              <w:szCs w:val="32"/>
            </w:rPr>
            <w:fldChar w:fldCharType="end"/>
          </w:r>
        </w:p>
        <w:p>
          <w:pPr>
            <w:pStyle w:val="11"/>
            <w:tabs>
              <w:tab w:val="right" w:leader="dot" w:pos="8390"/>
            </w:tabs>
            <w:adjustRightInd w:val="0"/>
            <w:snapToGrid w:val="0"/>
            <w:spacing w:line="580" w:lineRule="exact"/>
            <w:rPr>
              <w:rFonts w:ascii="仿宋" w:hAnsi="仿宋" w:eastAsia="仿宋"/>
              <w:sz w:val="32"/>
              <w:szCs w:val="32"/>
            </w:rPr>
          </w:pPr>
          <w:r>
            <w:fldChar w:fldCharType="begin"/>
          </w:r>
          <w:r>
            <w:instrText xml:space="preserve"> HYPERLINK \l "_Toc70524119" </w:instrText>
          </w:r>
          <w:r>
            <w:fldChar w:fldCharType="separate"/>
          </w:r>
          <w:r>
            <w:rPr>
              <w:rStyle w:val="18"/>
              <w:rFonts w:ascii="仿宋" w:hAnsi="仿宋" w:eastAsia="仿宋" w:cs="楷体_GB2312"/>
              <w:sz w:val="32"/>
              <w:szCs w:val="32"/>
            </w:rPr>
            <w:t>3.</w:t>
          </w:r>
          <w:r>
            <w:rPr>
              <w:rStyle w:val="18"/>
              <w:rFonts w:hint="eastAsia" w:ascii="仿宋" w:hAnsi="仿宋" w:eastAsia="仿宋" w:cs="楷体_GB2312"/>
              <w:sz w:val="32"/>
              <w:szCs w:val="32"/>
            </w:rPr>
            <w:t>推动农业资源永续利用，促进绿色发展</w:t>
          </w:r>
          <w:r>
            <w:rPr>
              <w:rFonts w:ascii="仿宋" w:hAnsi="仿宋" w:eastAsia="仿宋"/>
              <w:sz w:val="32"/>
              <w:szCs w:val="32"/>
            </w:rPr>
            <w:tab/>
          </w:r>
          <w:r>
            <w:rPr>
              <w:rFonts w:ascii="仿宋" w:hAnsi="仿宋" w:eastAsia="仿宋"/>
              <w:sz w:val="32"/>
              <w:szCs w:val="32"/>
            </w:rPr>
            <w:fldChar w:fldCharType="begin"/>
          </w:r>
          <w:r>
            <w:rPr>
              <w:rFonts w:ascii="仿宋" w:hAnsi="仿宋" w:eastAsia="仿宋"/>
              <w:sz w:val="32"/>
              <w:szCs w:val="32"/>
            </w:rPr>
            <w:instrText xml:space="preserve"> PAGEREF _Toc70524119 \h </w:instrText>
          </w:r>
          <w:r>
            <w:rPr>
              <w:rFonts w:ascii="仿宋" w:hAnsi="仿宋" w:eastAsia="仿宋"/>
              <w:sz w:val="32"/>
              <w:szCs w:val="32"/>
            </w:rPr>
            <w:fldChar w:fldCharType="separate"/>
          </w:r>
          <w:r>
            <w:rPr>
              <w:rFonts w:ascii="仿宋" w:hAnsi="仿宋" w:eastAsia="仿宋"/>
              <w:sz w:val="32"/>
              <w:szCs w:val="32"/>
            </w:rPr>
            <w:t>- 24 -</w:t>
          </w:r>
          <w:r>
            <w:rPr>
              <w:rFonts w:ascii="仿宋" w:hAnsi="仿宋" w:eastAsia="仿宋"/>
              <w:sz w:val="32"/>
              <w:szCs w:val="32"/>
            </w:rPr>
            <w:fldChar w:fldCharType="end"/>
          </w:r>
          <w:r>
            <w:rPr>
              <w:rFonts w:ascii="仿宋" w:hAnsi="仿宋" w:eastAsia="仿宋"/>
              <w:sz w:val="32"/>
              <w:szCs w:val="32"/>
            </w:rPr>
            <w:fldChar w:fldCharType="end"/>
          </w:r>
        </w:p>
        <w:p>
          <w:pPr>
            <w:pStyle w:val="11"/>
            <w:tabs>
              <w:tab w:val="right" w:leader="dot" w:pos="8390"/>
            </w:tabs>
            <w:adjustRightInd w:val="0"/>
            <w:snapToGrid w:val="0"/>
            <w:spacing w:line="580" w:lineRule="exact"/>
            <w:rPr>
              <w:rFonts w:ascii="仿宋" w:hAnsi="仿宋" w:eastAsia="仿宋"/>
              <w:sz w:val="32"/>
              <w:szCs w:val="32"/>
            </w:rPr>
          </w:pPr>
          <w:r>
            <w:fldChar w:fldCharType="begin"/>
          </w:r>
          <w:r>
            <w:instrText xml:space="preserve"> HYPERLINK \l "_Toc70524120" </w:instrText>
          </w:r>
          <w:r>
            <w:fldChar w:fldCharType="separate"/>
          </w:r>
          <w:r>
            <w:rPr>
              <w:rStyle w:val="18"/>
              <w:rFonts w:ascii="仿宋" w:hAnsi="仿宋" w:eastAsia="仿宋" w:cs="楷体_GB2312"/>
              <w:sz w:val="32"/>
              <w:szCs w:val="32"/>
            </w:rPr>
            <w:t>4.</w:t>
          </w:r>
          <w:r>
            <w:rPr>
              <w:rStyle w:val="18"/>
              <w:rFonts w:hint="eastAsia" w:ascii="仿宋" w:hAnsi="仿宋" w:eastAsia="仿宋" w:cs="楷体_GB2312"/>
              <w:sz w:val="32"/>
              <w:szCs w:val="32"/>
            </w:rPr>
            <w:t>持续改善人居环境，助推全域城镇化</w:t>
          </w:r>
          <w:r>
            <w:rPr>
              <w:rFonts w:ascii="仿宋" w:hAnsi="仿宋" w:eastAsia="仿宋"/>
              <w:sz w:val="32"/>
              <w:szCs w:val="32"/>
            </w:rPr>
            <w:tab/>
          </w:r>
          <w:r>
            <w:rPr>
              <w:rFonts w:ascii="仿宋" w:hAnsi="仿宋" w:eastAsia="仿宋"/>
              <w:sz w:val="32"/>
              <w:szCs w:val="32"/>
            </w:rPr>
            <w:fldChar w:fldCharType="begin"/>
          </w:r>
          <w:r>
            <w:rPr>
              <w:rFonts w:ascii="仿宋" w:hAnsi="仿宋" w:eastAsia="仿宋"/>
              <w:sz w:val="32"/>
              <w:szCs w:val="32"/>
            </w:rPr>
            <w:instrText xml:space="preserve"> PAGEREF _Toc70524120 \h </w:instrText>
          </w:r>
          <w:r>
            <w:rPr>
              <w:rFonts w:ascii="仿宋" w:hAnsi="仿宋" w:eastAsia="仿宋"/>
              <w:sz w:val="32"/>
              <w:szCs w:val="32"/>
            </w:rPr>
            <w:fldChar w:fldCharType="separate"/>
          </w:r>
          <w:r>
            <w:rPr>
              <w:rFonts w:ascii="仿宋" w:hAnsi="仿宋" w:eastAsia="仿宋"/>
              <w:sz w:val="32"/>
              <w:szCs w:val="32"/>
            </w:rPr>
            <w:t>- 25 -</w:t>
          </w:r>
          <w:r>
            <w:rPr>
              <w:rFonts w:ascii="仿宋" w:hAnsi="仿宋" w:eastAsia="仿宋"/>
              <w:sz w:val="32"/>
              <w:szCs w:val="32"/>
            </w:rPr>
            <w:fldChar w:fldCharType="end"/>
          </w:r>
          <w:r>
            <w:rPr>
              <w:rFonts w:ascii="仿宋" w:hAnsi="仿宋" w:eastAsia="仿宋"/>
              <w:sz w:val="32"/>
              <w:szCs w:val="32"/>
            </w:rPr>
            <w:fldChar w:fldCharType="end"/>
          </w:r>
        </w:p>
        <w:p>
          <w:pPr>
            <w:pStyle w:val="11"/>
            <w:tabs>
              <w:tab w:val="right" w:leader="dot" w:pos="8390"/>
            </w:tabs>
            <w:adjustRightInd w:val="0"/>
            <w:snapToGrid w:val="0"/>
            <w:spacing w:line="580" w:lineRule="exact"/>
            <w:rPr>
              <w:rFonts w:ascii="仿宋" w:hAnsi="仿宋" w:eastAsia="仿宋"/>
              <w:sz w:val="32"/>
              <w:szCs w:val="32"/>
            </w:rPr>
          </w:pPr>
          <w:r>
            <w:fldChar w:fldCharType="begin"/>
          </w:r>
          <w:r>
            <w:instrText xml:space="preserve"> HYPERLINK \l "_Toc70524121" </w:instrText>
          </w:r>
          <w:r>
            <w:fldChar w:fldCharType="separate"/>
          </w:r>
          <w:r>
            <w:rPr>
              <w:rStyle w:val="18"/>
              <w:rFonts w:hint="eastAsia" w:ascii="仿宋" w:hAnsi="仿宋" w:eastAsia="仿宋" w:cs="楷体"/>
              <w:bCs/>
              <w:sz w:val="32"/>
              <w:szCs w:val="32"/>
            </w:rPr>
            <w:t>专栏</w:t>
          </w:r>
          <w:r>
            <w:rPr>
              <w:rStyle w:val="18"/>
              <w:rFonts w:ascii="仿宋" w:hAnsi="仿宋" w:eastAsia="仿宋" w:cs="楷体"/>
              <w:bCs/>
              <w:sz w:val="32"/>
              <w:szCs w:val="32"/>
            </w:rPr>
            <w:t xml:space="preserve">2 </w:t>
          </w:r>
          <w:r>
            <w:rPr>
              <w:rStyle w:val="18"/>
              <w:rFonts w:hint="eastAsia" w:ascii="仿宋" w:hAnsi="仿宋" w:eastAsia="仿宋" w:cs="楷体"/>
              <w:bCs/>
              <w:sz w:val="32"/>
              <w:szCs w:val="32"/>
            </w:rPr>
            <w:t>生态环境和人居环境改善重点工程</w:t>
          </w:r>
          <w:r>
            <w:rPr>
              <w:rFonts w:ascii="仿宋" w:hAnsi="仿宋" w:eastAsia="仿宋"/>
              <w:sz w:val="32"/>
              <w:szCs w:val="32"/>
            </w:rPr>
            <w:tab/>
          </w:r>
          <w:r>
            <w:rPr>
              <w:rFonts w:ascii="仿宋" w:hAnsi="仿宋" w:eastAsia="仿宋"/>
              <w:sz w:val="32"/>
              <w:szCs w:val="32"/>
            </w:rPr>
            <w:fldChar w:fldCharType="begin"/>
          </w:r>
          <w:r>
            <w:rPr>
              <w:rFonts w:ascii="仿宋" w:hAnsi="仿宋" w:eastAsia="仿宋"/>
              <w:sz w:val="32"/>
              <w:szCs w:val="32"/>
            </w:rPr>
            <w:instrText xml:space="preserve"> PAGEREF _Toc70524121 \h </w:instrText>
          </w:r>
          <w:r>
            <w:rPr>
              <w:rFonts w:ascii="仿宋" w:hAnsi="仿宋" w:eastAsia="仿宋"/>
              <w:sz w:val="32"/>
              <w:szCs w:val="32"/>
            </w:rPr>
            <w:fldChar w:fldCharType="separate"/>
          </w:r>
          <w:r>
            <w:rPr>
              <w:rFonts w:ascii="仿宋" w:hAnsi="仿宋" w:eastAsia="仿宋"/>
              <w:sz w:val="32"/>
              <w:szCs w:val="32"/>
            </w:rPr>
            <w:t>- 25 -</w:t>
          </w:r>
          <w:r>
            <w:rPr>
              <w:rFonts w:ascii="仿宋" w:hAnsi="仿宋" w:eastAsia="仿宋"/>
              <w:sz w:val="32"/>
              <w:szCs w:val="32"/>
            </w:rPr>
            <w:fldChar w:fldCharType="end"/>
          </w:r>
          <w:r>
            <w:rPr>
              <w:rFonts w:ascii="仿宋" w:hAnsi="仿宋" w:eastAsia="仿宋"/>
              <w:sz w:val="32"/>
              <w:szCs w:val="32"/>
            </w:rPr>
            <w:fldChar w:fldCharType="end"/>
          </w:r>
        </w:p>
        <w:p>
          <w:pPr>
            <w:pStyle w:val="10"/>
            <w:tabs>
              <w:tab w:val="right" w:leader="dot" w:pos="8390"/>
            </w:tabs>
            <w:adjustRightInd w:val="0"/>
            <w:snapToGrid w:val="0"/>
            <w:spacing w:line="580" w:lineRule="exact"/>
            <w:rPr>
              <w:rFonts w:ascii="仿宋" w:hAnsi="仿宋" w:eastAsia="仿宋"/>
              <w:sz w:val="32"/>
              <w:szCs w:val="32"/>
            </w:rPr>
          </w:pPr>
          <w:r>
            <w:fldChar w:fldCharType="begin"/>
          </w:r>
          <w:r>
            <w:instrText xml:space="preserve"> HYPERLINK \l "_Toc70524122" </w:instrText>
          </w:r>
          <w:r>
            <w:fldChar w:fldCharType="separate"/>
          </w:r>
          <w:r>
            <w:rPr>
              <w:rStyle w:val="18"/>
              <w:rFonts w:hint="eastAsia" w:ascii="仿宋" w:hAnsi="仿宋" w:eastAsia="仿宋"/>
              <w:sz w:val="32"/>
              <w:szCs w:val="32"/>
            </w:rPr>
            <w:t>六、厚植文化优势，推进文明新风建设和文化繁荣</w:t>
          </w:r>
          <w:r>
            <w:rPr>
              <w:rFonts w:ascii="仿宋" w:hAnsi="仿宋" w:eastAsia="仿宋"/>
              <w:sz w:val="32"/>
              <w:szCs w:val="32"/>
            </w:rPr>
            <w:tab/>
          </w:r>
          <w:r>
            <w:rPr>
              <w:rFonts w:ascii="仿宋" w:hAnsi="仿宋" w:eastAsia="仿宋"/>
              <w:sz w:val="32"/>
              <w:szCs w:val="32"/>
            </w:rPr>
            <w:fldChar w:fldCharType="begin"/>
          </w:r>
          <w:r>
            <w:rPr>
              <w:rFonts w:ascii="仿宋" w:hAnsi="仿宋" w:eastAsia="仿宋"/>
              <w:sz w:val="32"/>
              <w:szCs w:val="32"/>
            </w:rPr>
            <w:instrText xml:space="preserve"> PAGEREF _Toc70524122 \h </w:instrText>
          </w:r>
          <w:r>
            <w:rPr>
              <w:rFonts w:ascii="仿宋" w:hAnsi="仿宋" w:eastAsia="仿宋"/>
              <w:sz w:val="32"/>
              <w:szCs w:val="32"/>
            </w:rPr>
            <w:fldChar w:fldCharType="separate"/>
          </w:r>
          <w:r>
            <w:rPr>
              <w:rFonts w:ascii="仿宋" w:hAnsi="仿宋" w:eastAsia="仿宋"/>
              <w:sz w:val="32"/>
              <w:szCs w:val="32"/>
            </w:rPr>
            <w:t>- 26 -</w:t>
          </w:r>
          <w:r>
            <w:rPr>
              <w:rFonts w:ascii="仿宋" w:hAnsi="仿宋" w:eastAsia="仿宋"/>
              <w:sz w:val="32"/>
              <w:szCs w:val="32"/>
            </w:rPr>
            <w:fldChar w:fldCharType="end"/>
          </w:r>
          <w:r>
            <w:rPr>
              <w:rFonts w:ascii="仿宋" w:hAnsi="仿宋" w:eastAsia="仿宋"/>
              <w:sz w:val="32"/>
              <w:szCs w:val="32"/>
            </w:rPr>
            <w:fldChar w:fldCharType="end"/>
          </w:r>
        </w:p>
        <w:p>
          <w:pPr>
            <w:pStyle w:val="11"/>
            <w:tabs>
              <w:tab w:val="right" w:leader="dot" w:pos="8390"/>
            </w:tabs>
            <w:adjustRightInd w:val="0"/>
            <w:snapToGrid w:val="0"/>
            <w:spacing w:line="580" w:lineRule="exact"/>
            <w:rPr>
              <w:rFonts w:ascii="仿宋" w:hAnsi="仿宋" w:eastAsia="仿宋"/>
              <w:sz w:val="32"/>
              <w:szCs w:val="32"/>
            </w:rPr>
          </w:pPr>
          <w:r>
            <w:fldChar w:fldCharType="begin"/>
          </w:r>
          <w:r>
            <w:instrText xml:space="preserve"> HYPERLINK \l "_Toc70524123" </w:instrText>
          </w:r>
          <w:r>
            <w:fldChar w:fldCharType="separate"/>
          </w:r>
          <w:r>
            <w:rPr>
              <w:rStyle w:val="18"/>
              <w:rFonts w:ascii="仿宋" w:hAnsi="仿宋" w:eastAsia="仿宋" w:cs="楷体_GB2312"/>
              <w:sz w:val="32"/>
              <w:szCs w:val="32"/>
            </w:rPr>
            <w:t>1.</w:t>
          </w:r>
          <w:r>
            <w:rPr>
              <w:rStyle w:val="18"/>
              <w:rFonts w:hint="eastAsia" w:ascii="仿宋" w:hAnsi="仿宋" w:eastAsia="仿宋" w:cs="楷体_GB2312"/>
              <w:sz w:val="32"/>
              <w:szCs w:val="32"/>
            </w:rPr>
            <w:t>加强新市民思想道德建设</w:t>
          </w:r>
          <w:r>
            <w:rPr>
              <w:rFonts w:ascii="仿宋" w:hAnsi="仿宋" w:eastAsia="仿宋"/>
              <w:sz w:val="32"/>
              <w:szCs w:val="32"/>
            </w:rPr>
            <w:tab/>
          </w:r>
          <w:r>
            <w:rPr>
              <w:rFonts w:ascii="仿宋" w:hAnsi="仿宋" w:eastAsia="仿宋"/>
              <w:sz w:val="32"/>
              <w:szCs w:val="32"/>
            </w:rPr>
            <w:fldChar w:fldCharType="begin"/>
          </w:r>
          <w:r>
            <w:rPr>
              <w:rFonts w:ascii="仿宋" w:hAnsi="仿宋" w:eastAsia="仿宋"/>
              <w:sz w:val="32"/>
              <w:szCs w:val="32"/>
            </w:rPr>
            <w:instrText xml:space="preserve"> PAGEREF _Toc70524123 \h </w:instrText>
          </w:r>
          <w:r>
            <w:rPr>
              <w:rFonts w:ascii="仿宋" w:hAnsi="仿宋" w:eastAsia="仿宋"/>
              <w:sz w:val="32"/>
              <w:szCs w:val="32"/>
            </w:rPr>
            <w:fldChar w:fldCharType="separate"/>
          </w:r>
          <w:r>
            <w:rPr>
              <w:rFonts w:ascii="仿宋" w:hAnsi="仿宋" w:eastAsia="仿宋"/>
              <w:sz w:val="32"/>
              <w:szCs w:val="32"/>
            </w:rPr>
            <w:t>- 26 -</w:t>
          </w:r>
          <w:r>
            <w:rPr>
              <w:rFonts w:ascii="仿宋" w:hAnsi="仿宋" w:eastAsia="仿宋"/>
              <w:sz w:val="32"/>
              <w:szCs w:val="32"/>
            </w:rPr>
            <w:fldChar w:fldCharType="end"/>
          </w:r>
          <w:r>
            <w:rPr>
              <w:rFonts w:ascii="仿宋" w:hAnsi="仿宋" w:eastAsia="仿宋"/>
              <w:sz w:val="32"/>
              <w:szCs w:val="32"/>
            </w:rPr>
            <w:fldChar w:fldCharType="end"/>
          </w:r>
        </w:p>
        <w:p>
          <w:pPr>
            <w:pStyle w:val="11"/>
            <w:tabs>
              <w:tab w:val="right" w:leader="dot" w:pos="8390"/>
            </w:tabs>
            <w:adjustRightInd w:val="0"/>
            <w:snapToGrid w:val="0"/>
            <w:spacing w:line="580" w:lineRule="exact"/>
            <w:rPr>
              <w:rFonts w:ascii="仿宋" w:hAnsi="仿宋" w:eastAsia="仿宋"/>
              <w:sz w:val="32"/>
              <w:szCs w:val="32"/>
            </w:rPr>
          </w:pPr>
          <w:r>
            <w:fldChar w:fldCharType="begin"/>
          </w:r>
          <w:r>
            <w:instrText xml:space="preserve"> HYPERLINK \l "_Toc70524124" </w:instrText>
          </w:r>
          <w:r>
            <w:fldChar w:fldCharType="separate"/>
          </w:r>
          <w:r>
            <w:rPr>
              <w:rStyle w:val="18"/>
              <w:rFonts w:ascii="仿宋" w:hAnsi="仿宋" w:eastAsia="仿宋" w:cs="楷体_GB2312"/>
              <w:sz w:val="32"/>
              <w:szCs w:val="32"/>
            </w:rPr>
            <w:t>2.</w:t>
          </w:r>
          <w:r>
            <w:rPr>
              <w:rStyle w:val="18"/>
              <w:rFonts w:hint="eastAsia" w:ascii="仿宋" w:hAnsi="仿宋" w:eastAsia="仿宋" w:cs="楷体_GB2312"/>
              <w:sz w:val="32"/>
              <w:szCs w:val="32"/>
            </w:rPr>
            <w:t>完善新市镇公共文化服务体系</w:t>
          </w:r>
          <w:r>
            <w:rPr>
              <w:rFonts w:ascii="仿宋" w:hAnsi="仿宋" w:eastAsia="仿宋"/>
              <w:sz w:val="32"/>
              <w:szCs w:val="32"/>
            </w:rPr>
            <w:tab/>
          </w:r>
          <w:r>
            <w:rPr>
              <w:rFonts w:ascii="仿宋" w:hAnsi="仿宋" w:eastAsia="仿宋"/>
              <w:sz w:val="32"/>
              <w:szCs w:val="32"/>
            </w:rPr>
            <w:fldChar w:fldCharType="begin"/>
          </w:r>
          <w:r>
            <w:rPr>
              <w:rFonts w:ascii="仿宋" w:hAnsi="仿宋" w:eastAsia="仿宋"/>
              <w:sz w:val="32"/>
              <w:szCs w:val="32"/>
            </w:rPr>
            <w:instrText xml:space="preserve"> PAGEREF _Toc70524124 \h </w:instrText>
          </w:r>
          <w:r>
            <w:rPr>
              <w:rFonts w:ascii="仿宋" w:hAnsi="仿宋" w:eastAsia="仿宋"/>
              <w:sz w:val="32"/>
              <w:szCs w:val="32"/>
            </w:rPr>
            <w:fldChar w:fldCharType="separate"/>
          </w:r>
          <w:r>
            <w:rPr>
              <w:rFonts w:ascii="仿宋" w:hAnsi="仿宋" w:eastAsia="仿宋"/>
              <w:sz w:val="32"/>
              <w:szCs w:val="32"/>
            </w:rPr>
            <w:t>- 26 -</w:t>
          </w:r>
          <w:r>
            <w:rPr>
              <w:rFonts w:ascii="仿宋" w:hAnsi="仿宋" w:eastAsia="仿宋"/>
              <w:sz w:val="32"/>
              <w:szCs w:val="32"/>
            </w:rPr>
            <w:fldChar w:fldCharType="end"/>
          </w:r>
          <w:r>
            <w:rPr>
              <w:rFonts w:ascii="仿宋" w:hAnsi="仿宋" w:eastAsia="仿宋"/>
              <w:sz w:val="32"/>
              <w:szCs w:val="32"/>
            </w:rPr>
            <w:fldChar w:fldCharType="end"/>
          </w:r>
        </w:p>
        <w:p>
          <w:pPr>
            <w:pStyle w:val="11"/>
            <w:tabs>
              <w:tab w:val="right" w:leader="dot" w:pos="8390"/>
            </w:tabs>
            <w:adjustRightInd w:val="0"/>
            <w:snapToGrid w:val="0"/>
            <w:spacing w:line="580" w:lineRule="exact"/>
            <w:rPr>
              <w:rFonts w:ascii="仿宋" w:hAnsi="仿宋" w:eastAsia="仿宋"/>
              <w:sz w:val="32"/>
              <w:szCs w:val="32"/>
            </w:rPr>
          </w:pPr>
          <w:r>
            <w:fldChar w:fldCharType="begin"/>
          </w:r>
          <w:r>
            <w:instrText xml:space="preserve"> HYPERLINK \l "_Toc70524125" </w:instrText>
          </w:r>
          <w:r>
            <w:fldChar w:fldCharType="separate"/>
          </w:r>
          <w:r>
            <w:rPr>
              <w:rStyle w:val="18"/>
              <w:rFonts w:ascii="仿宋" w:hAnsi="仿宋" w:eastAsia="仿宋" w:cs="楷体_GB2312"/>
              <w:sz w:val="32"/>
              <w:szCs w:val="32"/>
            </w:rPr>
            <w:t>3.</w:t>
          </w:r>
          <w:r>
            <w:rPr>
              <w:rStyle w:val="18"/>
              <w:rFonts w:hint="eastAsia" w:ascii="仿宋" w:hAnsi="仿宋" w:eastAsia="仿宋" w:cs="楷体_GB2312"/>
              <w:sz w:val="32"/>
              <w:szCs w:val="32"/>
            </w:rPr>
            <w:t>弘扬传承优秀传统文化</w:t>
          </w:r>
          <w:r>
            <w:rPr>
              <w:rFonts w:ascii="仿宋" w:hAnsi="仿宋" w:eastAsia="仿宋"/>
              <w:sz w:val="32"/>
              <w:szCs w:val="32"/>
            </w:rPr>
            <w:tab/>
          </w:r>
          <w:r>
            <w:rPr>
              <w:rFonts w:ascii="仿宋" w:hAnsi="仿宋" w:eastAsia="仿宋"/>
              <w:sz w:val="32"/>
              <w:szCs w:val="32"/>
            </w:rPr>
            <w:fldChar w:fldCharType="begin"/>
          </w:r>
          <w:r>
            <w:rPr>
              <w:rFonts w:ascii="仿宋" w:hAnsi="仿宋" w:eastAsia="仿宋"/>
              <w:sz w:val="32"/>
              <w:szCs w:val="32"/>
            </w:rPr>
            <w:instrText xml:space="preserve"> PAGEREF _Toc70524125 \h </w:instrText>
          </w:r>
          <w:r>
            <w:rPr>
              <w:rFonts w:ascii="仿宋" w:hAnsi="仿宋" w:eastAsia="仿宋"/>
              <w:sz w:val="32"/>
              <w:szCs w:val="32"/>
            </w:rPr>
            <w:fldChar w:fldCharType="separate"/>
          </w:r>
          <w:r>
            <w:rPr>
              <w:rFonts w:ascii="仿宋" w:hAnsi="仿宋" w:eastAsia="仿宋"/>
              <w:sz w:val="32"/>
              <w:szCs w:val="32"/>
            </w:rPr>
            <w:t>- 28 -</w:t>
          </w:r>
          <w:r>
            <w:rPr>
              <w:rFonts w:ascii="仿宋" w:hAnsi="仿宋" w:eastAsia="仿宋"/>
              <w:sz w:val="32"/>
              <w:szCs w:val="32"/>
            </w:rPr>
            <w:fldChar w:fldCharType="end"/>
          </w:r>
          <w:r>
            <w:rPr>
              <w:rFonts w:ascii="仿宋" w:hAnsi="仿宋" w:eastAsia="仿宋"/>
              <w:sz w:val="32"/>
              <w:szCs w:val="32"/>
            </w:rPr>
            <w:fldChar w:fldCharType="end"/>
          </w:r>
        </w:p>
        <w:p>
          <w:pPr>
            <w:pStyle w:val="11"/>
            <w:tabs>
              <w:tab w:val="right" w:leader="dot" w:pos="8390"/>
            </w:tabs>
            <w:adjustRightInd w:val="0"/>
            <w:snapToGrid w:val="0"/>
            <w:spacing w:line="580" w:lineRule="exact"/>
            <w:rPr>
              <w:rFonts w:ascii="仿宋" w:hAnsi="仿宋" w:eastAsia="仿宋"/>
              <w:sz w:val="32"/>
              <w:szCs w:val="32"/>
            </w:rPr>
          </w:pPr>
          <w:r>
            <w:fldChar w:fldCharType="begin"/>
          </w:r>
          <w:r>
            <w:instrText xml:space="preserve"> HYPERLINK \l "_Toc70524126" </w:instrText>
          </w:r>
          <w:r>
            <w:fldChar w:fldCharType="separate"/>
          </w:r>
          <w:r>
            <w:rPr>
              <w:rStyle w:val="18"/>
              <w:rFonts w:hint="eastAsia" w:ascii="仿宋" w:hAnsi="仿宋" w:eastAsia="仿宋" w:cs="楷体"/>
              <w:bCs/>
              <w:sz w:val="32"/>
              <w:szCs w:val="32"/>
            </w:rPr>
            <w:t>专栏</w:t>
          </w:r>
          <w:r>
            <w:rPr>
              <w:rStyle w:val="18"/>
              <w:rFonts w:ascii="仿宋" w:hAnsi="仿宋" w:eastAsia="仿宋" w:cs="楷体"/>
              <w:bCs/>
              <w:sz w:val="32"/>
              <w:szCs w:val="32"/>
            </w:rPr>
            <w:t xml:space="preserve">3 </w:t>
          </w:r>
          <w:r>
            <w:rPr>
              <w:rStyle w:val="18"/>
              <w:rFonts w:hint="eastAsia" w:ascii="仿宋" w:hAnsi="仿宋" w:eastAsia="仿宋" w:cs="楷体"/>
              <w:bCs/>
              <w:sz w:val="32"/>
              <w:szCs w:val="32"/>
            </w:rPr>
            <w:t>文明新风建设和文化繁荣重点工程</w:t>
          </w:r>
          <w:r>
            <w:rPr>
              <w:rFonts w:ascii="仿宋" w:hAnsi="仿宋" w:eastAsia="仿宋"/>
              <w:sz w:val="32"/>
              <w:szCs w:val="32"/>
            </w:rPr>
            <w:tab/>
          </w:r>
          <w:r>
            <w:rPr>
              <w:rFonts w:ascii="仿宋" w:hAnsi="仿宋" w:eastAsia="仿宋"/>
              <w:sz w:val="32"/>
              <w:szCs w:val="32"/>
            </w:rPr>
            <w:fldChar w:fldCharType="begin"/>
          </w:r>
          <w:r>
            <w:rPr>
              <w:rFonts w:ascii="仿宋" w:hAnsi="仿宋" w:eastAsia="仿宋"/>
              <w:sz w:val="32"/>
              <w:szCs w:val="32"/>
            </w:rPr>
            <w:instrText xml:space="preserve"> PAGEREF _Toc70524126 \h </w:instrText>
          </w:r>
          <w:r>
            <w:rPr>
              <w:rFonts w:ascii="仿宋" w:hAnsi="仿宋" w:eastAsia="仿宋"/>
              <w:sz w:val="32"/>
              <w:szCs w:val="32"/>
            </w:rPr>
            <w:fldChar w:fldCharType="separate"/>
          </w:r>
          <w:r>
            <w:rPr>
              <w:rFonts w:ascii="仿宋" w:hAnsi="仿宋" w:eastAsia="仿宋"/>
              <w:sz w:val="32"/>
              <w:szCs w:val="32"/>
            </w:rPr>
            <w:t>- 28 -</w:t>
          </w:r>
          <w:r>
            <w:rPr>
              <w:rFonts w:ascii="仿宋" w:hAnsi="仿宋" w:eastAsia="仿宋"/>
              <w:sz w:val="32"/>
              <w:szCs w:val="32"/>
            </w:rPr>
            <w:fldChar w:fldCharType="end"/>
          </w:r>
          <w:r>
            <w:rPr>
              <w:rFonts w:ascii="仿宋" w:hAnsi="仿宋" w:eastAsia="仿宋"/>
              <w:sz w:val="32"/>
              <w:szCs w:val="32"/>
            </w:rPr>
            <w:fldChar w:fldCharType="end"/>
          </w:r>
        </w:p>
        <w:p>
          <w:pPr>
            <w:pStyle w:val="10"/>
            <w:tabs>
              <w:tab w:val="right" w:leader="dot" w:pos="8390"/>
            </w:tabs>
            <w:adjustRightInd w:val="0"/>
            <w:snapToGrid w:val="0"/>
            <w:spacing w:line="580" w:lineRule="exact"/>
            <w:rPr>
              <w:rFonts w:ascii="仿宋" w:hAnsi="仿宋" w:eastAsia="仿宋"/>
              <w:sz w:val="32"/>
              <w:szCs w:val="32"/>
            </w:rPr>
          </w:pPr>
          <w:r>
            <w:fldChar w:fldCharType="begin"/>
          </w:r>
          <w:r>
            <w:instrText xml:space="preserve"> HYPERLINK \l "_Toc70524127" </w:instrText>
          </w:r>
          <w:r>
            <w:fldChar w:fldCharType="separate"/>
          </w:r>
          <w:r>
            <w:rPr>
              <w:rStyle w:val="18"/>
              <w:rFonts w:hint="eastAsia" w:ascii="仿宋" w:hAnsi="仿宋" w:eastAsia="仿宋"/>
              <w:sz w:val="32"/>
              <w:szCs w:val="32"/>
            </w:rPr>
            <w:t>七、创新治理方式，打造城乡一体的社会治理体系</w:t>
          </w:r>
          <w:r>
            <w:rPr>
              <w:rFonts w:ascii="仿宋" w:hAnsi="仿宋" w:eastAsia="仿宋"/>
              <w:sz w:val="32"/>
              <w:szCs w:val="32"/>
            </w:rPr>
            <w:tab/>
          </w:r>
          <w:r>
            <w:rPr>
              <w:rFonts w:ascii="仿宋" w:hAnsi="仿宋" w:eastAsia="仿宋"/>
              <w:sz w:val="32"/>
              <w:szCs w:val="32"/>
            </w:rPr>
            <w:fldChar w:fldCharType="begin"/>
          </w:r>
          <w:r>
            <w:rPr>
              <w:rFonts w:ascii="仿宋" w:hAnsi="仿宋" w:eastAsia="仿宋"/>
              <w:sz w:val="32"/>
              <w:szCs w:val="32"/>
            </w:rPr>
            <w:instrText xml:space="preserve"> PAGEREF _Toc70524127 \h </w:instrText>
          </w:r>
          <w:r>
            <w:rPr>
              <w:rFonts w:ascii="仿宋" w:hAnsi="仿宋" w:eastAsia="仿宋"/>
              <w:sz w:val="32"/>
              <w:szCs w:val="32"/>
            </w:rPr>
            <w:fldChar w:fldCharType="separate"/>
          </w:r>
          <w:r>
            <w:rPr>
              <w:rFonts w:ascii="仿宋" w:hAnsi="仿宋" w:eastAsia="仿宋"/>
              <w:sz w:val="32"/>
              <w:szCs w:val="32"/>
            </w:rPr>
            <w:t>- 29 -</w:t>
          </w:r>
          <w:r>
            <w:rPr>
              <w:rFonts w:ascii="仿宋" w:hAnsi="仿宋" w:eastAsia="仿宋"/>
              <w:sz w:val="32"/>
              <w:szCs w:val="32"/>
            </w:rPr>
            <w:fldChar w:fldCharType="end"/>
          </w:r>
          <w:r>
            <w:rPr>
              <w:rFonts w:ascii="仿宋" w:hAnsi="仿宋" w:eastAsia="仿宋"/>
              <w:sz w:val="32"/>
              <w:szCs w:val="32"/>
            </w:rPr>
            <w:fldChar w:fldCharType="end"/>
          </w:r>
        </w:p>
        <w:p>
          <w:pPr>
            <w:pStyle w:val="11"/>
            <w:tabs>
              <w:tab w:val="right" w:leader="dot" w:pos="8390"/>
            </w:tabs>
            <w:adjustRightInd w:val="0"/>
            <w:snapToGrid w:val="0"/>
            <w:spacing w:line="580" w:lineRule="exact"/>
            <w:rPr>
              <w:rFonts w:ascii="仿宋" w:hAnsi="仿宋" w:eastAsia="仿宋"/>
              <w:sz w:val="32"/>
              <w:szCs w:val="32"/>
            </w:rPr>
          </w:pPr>
          <w:r>
            <w:fldChar w:fldCharType="begin"/>
          </w:r>
          <w:r>
            <w:instrText xml:space="preserve"> HYPERLINK \l "_Toc70524128" </w:instrText>
          </w:r>
          <w:r>
            <w:fldChar w:fldCharType="separate"/>
          </w:r>
          <w:r>
            <w:rPr>
              <w:rStyle w:val="18"/>
              <w:rFonts w:ascii="仿宋" w:hAnsi="仿宋" w:eastAsia="仿宋" w:cs="楷体_GB2312"/>
              <w:sz w:val="32"/>
              <w:szCs w:val="32"/>
            </w:rPr>
            <w:t>1.</w:t>
          </w:r>
          <w:r>
            <w:rPr>
              <w:rStyle w:val="18"/>
              <w:rFonts w:hint="eastAsia" w:ascii="仿宋" w:hAnsi="仿宋" w:eastAsia="仿宋" w:cs="楷体_GB2312"/>
              <w:sz w:val="32"/>
              <w:szCs w:val="32"/>
            </w:rPr>
            <w:t>加强基层党组织的全面领导</w:t>
          </w:r>
          <w:r>
            <w:rPr>
              <w:rFonts w:ascii="仿宋" w:hAnsi="仿宋" w:eastAsia="仿宋"/>
              <w:sz w:val="32"/>
              <w:szCs w:val="32"/>
            </w:rPr>
            <w:tab/>
          </w:r>
          <w:r>
            <w:rPr>
              <w:rFonts w:ascii="仿宋" w:hAnsi="仿宋" w:eastAsia="仿宋"/>
              <w:sz w:val="32"/>
              <w:szCs w:val="32"/>
            </w:rPr>
            <w:fldChar w:fldCharType="begin"/>
          </w:r>
          <w:r>
            <w:rPr>
              <w:rFonts w:ascii="仿宋" w:hAnsi="仿宋" w:eastAsia="仿宋"/>
              <w:sz w:val="32"/>
              <w:szCs w:val="32"/>
            </w:rPr>
            <w:instrText xml:space="preserve"> PAGEREF _Toc70524128 \h </w:instrText>
          </w:r>
          <w:r>
            <w:rPr>
              <w:rFonts w:ascii="仿宋" w:hAnsi="仿宋" w:eastAsia="仿宋"/>
              <w:sz w:val="32"/>
              <w:szCs w:val="32"/>
            </w:rPr>
            <w:fldChar w:fldCharType="separate"/>
          </w:r>
          <w:r>
            <w:rPr>
              <w:rFonts w:ascii="仿宋" w:hAnsi="仿宋" w:eastAsia="仿宋"/>
              <w:sz w:val="32"/>
              <w:szCs w:val="32"/>
            </w:rPr>
            <w:t>- 29 -</w:t>
          </w:r>
          <w:r>
            <w:rPr>
              <w:rFonts w:ascii="仿宋" w:hAnsi="仿宋" w:eastAsia="仿宋"/>
              <w:sz w:val="32"/>
              <w:szCs w:val="32"/>
            </w:rPr>
            <w:fldChar w:fldCharType="end"/>
          </w:r>
          <w:r>
            <w:rPr>
              <w:rFonts w:ascii="仿宋" w:hAnsi="仿宋" w:eastAsia="仿宋"/>
              <w:sz w:val="32"/>
              <w:szCs w:val="32"/>
            </w:rPr>
            <w:fldChar w:fldCharType="end"/>
          </w:r>
        </w:p>
        <w:p>
          <w:pPr>
            <w:pStyle w:val="11"/>
            <w:tabs>
              <w:tab w:val="right" w:leader="dot" w:pos="8390"/>
            </w:tabs>
            <w:adjustRightInd w:val="0"/>
            <w:snapToGrid w:val="0"/>
            <w:spacing w:line="580" w:lineRule="exact"/>
            <w:rPr>
              <w:rFonts w:ascii="仿宋" w:hAnsi="仿宋" w:eastAsia="仿宋"/>
              <w:sz w:val="32"/>
              <w:szCs w:val="32"/>
            </w:rPr>
          </w:pPr>
          <w:r>
            <w:fldChar w:fldCharType="begin"/>
          </w:r>
          <w:r>
            <w:instrText xml:space="preserve"> HYPERLINK \l "_Toc70524129" </w:instrText>
          </w:r>
          <w:r>
            <w:fldChar w:fldCharType="separate"/>
          </w:r>
          <w:r>
            <w:rPr>
              <w:rStyle w:val="18"/>
              <w:rFonts w:ascii="仿宋" w:hAnsi="仿宋" w:eastAsia="仿宋" w:cs="楷体_GB2312"/>
              <w:sz w:val="32"/>
              <w:szCs w:val="32"/>
            </w:rPr>
            <w:t>2.</w:t>
          </w:r>
          <w:r>
            <w:rPr>
              <w:rStyle w:val="18"/>
              <w:rFonts w:hint="eastAsia" w:ascii="仿宋" w:hAnsi="仿宋" w:eastAsia="仿宋" w:cs="楷体_GB2312"/>
              <w:sz w:val="32"/>
              <w:szCs w:val="32"/>
            </w:rPr>
            <w:t>健全社区民主自治体系</w:t>
          </w:r>
          <w:r>
            <w:rPr>
              <w:rFonts w:ascii="仿宋" w:hAnsi="仿宋" w:eastAsia="仿宋"/>
              <w:sz w:val="32"/>
              <w:szCs w:val="32"/>
            </w:rPr>
            <w:tab/>
          </w:r>
          <w:r>
            <w:rPr>
              <w:rFonts w:ascii="仿宋" w:hAnsi="仿宋" w:eastAsia="仿宋"/>
              <w:sz w:val="32"/>
              <w:szCs w:val="32"/>
            </w:rPr>
            <w:fldChar w:fldCharType="begin"/>
          </w:r>
          <w:r>
            <w:rPr>
              <w:rFonts w:ascii="仿宋" w:hAnsi="仿宋" w:eastAsia="仿宋"/>
              <w:sz w:val="32"/>
              <w:szCs w:val="32"/>
            </w:rPr>
            <w:instrText xml:space="preserve"> PAGEREF _Toc70524129 \h </w:instrText>
          </w:r>
          <w:r>
            <w:rPr>
              <w:rFonts w:ascii="仿宋" w:hAnsi="仿宋" w:eastAsia="仿宋"/>
              <w:sz w:val="32"/>
              <w:szCs w:val="32"/>
            </w:rPr>
            <w:fldChar w:fldCharType="separate"/>
          </w:r>
          <w:r>
            <w:rPr>
              <w:rFonts w:ascii="仿宋" w:hAnsi="仿宋" w:eastAsia="仿宋"/>
              <w:sz w:val="32"/>
              <w:szCs w:val="32"/>
            </w:rPr>
            <w:t>- 30 -</w:t>
          </w:r>
          <w:r>
            <w:rPr>
              <w:rFonts w:ascii="仿宋" w:hAnsi="仿宋" w:eastAsia="仿宋"/>
              <w:sz w:val="32"/>
              <w:szCs w:val="32"/>
            </w:rPr>
            <w:fldChar w:fldCharType="end"/>
          </w:r>
          <w:r>
            <w:rPr>
              <w:rFonts w:ascii="仿宋" w:hAnsi="仿宋" w:eastAsia="仿宋"/>
              <w:sz w:val="32"/>
              <w:szCs w:val="32"/>
            </w:rPr>
            <w:fldChar w:fldCharType="end"/>
          </w:r>
        </w:p>
        <w:p>
          <w:pPr>
            <w:pStyle w:val="11"/>
            <w:tabs>
              <w:tab w:val="right" w:leader="dot" w:pos="8390"/>
            </w:tabs>
            <w:adjustRightInd w:val="0"/>
            <w:snapToGrid w:val="0"/>
            <w:spacing w:line="580" w:lineRule="exact"/>
            <w:rPr>
              <w:rFonts w:ascii="仿宋" w:hAnsi="仿宋" w:eastAsia="仿宋"/>
              <w:sz w:val="32"/>
              <w:szCs w:val="32"/>
            </w:rPr>
          </w:pPr>
          <w:r>
            <w:fldChar w:fldCharType="begin"/>
          </w:r>
          <w:r>
            <w:instrText xml:space="preserve"> HYPERLINK \l "_Toc70524130" </w:instrText>
          </w:r>
          <w:r>
            <w:fldChar w:fldCharType="separate"/>
          </w:r>
          <w:r>
            <w:rPr>
              <w:rStyle w:val="18"/>
              <w:rFonts w:ascii="仿宋" w:hAnsi="仿宋" w:eastAsia="仿宋" w:cs="楷体_GB2312"/>
              <w:sz w:val="32"/>
              <w:szCs w:val="32"/>
            </w:rPr>
            <w:t>3.</w:t>
          </w:r>
          <w:r>
            <w:rPr>
              <w:rStyle w:val="18"/>
              <w:rFonts w:hint="eastAsia" w:ascii="仿宋" w:hAnsi="仿宋" w:eastAsia="仿宋" w:cs="楷体_GB2312"/>
              <w:sz w:val="32"/>
              <w:szCs w:val="32"/>
            </w:rPr>
            <w:t>打造“网格化</w:t>
          </w:r>
          <w:r>
            <w:rPr>
              <w:rStyle w:val="18"/>
              <w:rFonts w:ascii="仿宋" w:hAnsi="仿宋" w:eastAsia="仿宋" w:cs="楷体_GB2312"/>
              <w:sz w:val="32"/>
              <w:szCs w:val="32"/>
            </w:rPr>
            <w:t>+</w:t>
          </w:r>
          <w:r>
            <w:rPr>
              <w:rStyle w:val="18"/>
              <w:rFonts w:hint="eastAsia" w:ascii="仿宋" w:hAnsi="仿宋" w:eastAsia="仿宋" w:cs="楷体_GB2312"/>
              <w:sz w:val="32"/>
              <w:szCs w:val="32"/>
            </w:rPr>
            <w:t>大数据”的精准社会治理模式</w:t>
          </w:r>
          <w:r>
            <w:rPr>
              <w:rFonts w:ascii="仿宋" w:hAnsi="仿宋" w:eastAsia="仿宋"/>
              <w:sz w:val="32"/>
              <w:szCs w:val="32"/>
            </w:rPr>
            <w:tab/>
          </w:r>
          <w:r>
            <w:rPr>
              <w:rFonts w:ascii="仿宋" w:hAnsi="仿宋" w:eastAsia="仿宋"/>
              <w:sz w:val="32"/>
              <w:szCs w:val="32"/>
            </w:rPr>
            <w:fldChar w:fldCharType="begin"/>
          </w:r>
          <w:r>
            <w:rPr>
              <w:rFonts w:ascii="仿宋" w:hAnsi="仿宋" w:eastAsia="仿宋"/>
              <w:sz w:val="32"/>
              <w:szCs w:val="32"/>
            </w:rPr>
            <w:instrText xml:space="preserve"> PAGEREF _Toc70524130 \h </w:instrText>
          </w:r>
          <w:r>
            <w:rPr>
              <w:rFonts w:ascii="仿宋" w:hAnsi="仿宋" w:eastAsia="仿宋"/>
              <w:sz w:val="32"/>
              <w:szCs w:val="32"/>
            </w:rPr>
            <w:fldChar w:fldCharType="separate"/>
          </w:r>
          <w:r>
            <w:rPr>
              <w:rFonts w:ascii="仿宋" w:hAnsi="仿宋" w:eastAsia="仿宋"/>
              <w:sz w:val="32"/>
              <w:szCs w:val="32"/>
            </w:rPr>
            <w:t>- 30 -</w:t>
          </w:r>
          <w:r>
            <w:rPr>
              <w:rFonts w:ascii="仿宋" w:hAnsi="仿宋" w:eastAsia="仿宋"/>
              <w:sz w:val="32"/>
              <w:szCs w:val="32"/>
            </w:rPr>
            <w:fldChar w:fldCharType="end"/>
          </w:r>
          <w:r>
            <w:rPr>
              <w:rFonts w:ascii="仿宋" w:hAnsi="仿宋" w:eastAsia="仿宋"/>
              <w:sz w:val="32"/>
              <w:szCs w:val="32"/>
            </w:rPr>
            <w:fldChar w:fldCharType="end"/>
          </w:r>
        </w:p>
        <w:p>
          <w:pPr>
            <w:pStyle w:val="11"/>
            <w:tabs>
              <w:tab w:val="right" w:leader="dot" w:pos="8390"/>
            </w:tabs>
            <w:adjustRightInd w:val="0"/>
            <w:snapToGrid w:val="0"/>
            <w:spacing w:line="580" w:lineRule="exact"/>
            <w:rPr>
              <w:rFonts w:ascii="仿宋" w:hAnsi="仿宋" w:eastAsia="仿宋"/>
              <w:sz w:val="32"/>
              <w:szCs w:val="32"/>
            </w:rPr>
          </w:pPr>
          <w:r>
            <w:fldChar w:fldCharType="begin"/>
          </w:r>
          <w:r>
            <w:instrText xml:space="preserve"> HYPERLINK \l "_Toc70524131" </w:instrText>
          </w:r>
          <w:r>
            <w:fldChar w:fldCharType="separate"/>
          </w:r>
          <w:r>
            <w:rPr>
              <w:rStyle w:val="18"/>
              <w:rFonts w:hint="eastAsia" w:ascii="仿宋" w:hAnsi="仿宋" w:eastAsia="仿宋" w:cs="楷体"/>
              <w:bCs/>
              <w:sz w:val="32"/>
              <w:szCs w:val="32"/>
            </w:rPr>
            <w:t>专栏</w:t>
          </w:r>
          <w:r>
            <w:rPr>
              <w:rStyle w:val="18"/>
              <w:rFonts w:ascii="仿宋" w:hAnsi="仿宋" w:eastAsia="仿宋" w:cs="楷体"/>
              <w:bCs/>
              <w:sz w:val="32"/>
              <w:szCs w:val="32"/>
            </w:rPr>
            <w:t xml:space="preserve">4 </w:t>
          </w:r>
          <w:r>
            <w:rPr>
              <w:rStyle w:val="18"/>
              <w:rFonts w:hint="eastAsia" w:ascii="仿宋" w:hAnsi="仿宋" w:eastAsia="仿宋" w:cs="楷体"/>
              <w:bCs/>
              <w:sz w:val="32"/>
              <w:szCs w:val="32"/>
            </w:rPr>
            <w:t>社会治理现代化重点工程</w:t>
          </w:r>
          <w:r>
            <w:rPr>
              <w:rFonts w:ascii="仿宋" w:hAnsi="仿宋" w:eastAsia="仿宋"/>
              <w:sz w:val="32"/>
              <w:szCs w:val="32"/>
            </w:rPr>
            <w:tab/>
          </w:r>
          <w:r>
            <w:rPr>
              <w:rFonts w:ascii="仿宋" w:hAnsi="仿宋" w:eastAsia="仿宋"/>
              <w:sz w:val="32"/>
              <w:szCs w:val="32"/>
            </w:rPr>
            <w:fldChar w:fldCharType="begin"/>
          </w:r>
          <w:r>
            <w:rPr>
              <w:rFonts w:ascii="仿宋" w:hAnsi="仿宋" w:eastAsia="仿宋"/>
              <w:sz w:val="32"/>
              <w:szCs w:val="32"/>
            </w:rPr>
            <w:instrText xml:space="preserve"> PAGEREF _Toc70524131 \h </w:instrText>
          </w:r>
          <w:r>
            <w:rPr>
              <w:rFonts w:ascii="仿宋" w:hAnsi="仿宋" w:eastAsia="仿宋"/>
              <w:sz w:val="32"/>
              <w:szCs w:val="32"/>
            </w:rPr>
            <w:fldChar w:fldCharType="separate"/>
          </w:r>
          <w:r>
            <w:rPr>
              <w:rFonts w:ascii="仿宋" w:hAnsi="仿宋" w:eastAsia="仿宋"/>
              <w:sz w:val="32"/>
              <w:szCs w:val="32"/>
            </w:rPr>
            <w:t>- 30 -</w:t>
          </w:r>
          <w:r>
            <w:rPr>
              <w:rFonts w:ascii="仿宋" w:hAnsi="仿宋" w:eastAsia="仿宋"/>
              <w:sz w:val="32"/>
              <w:szCs w:val="32"/>
            </w:rPr>
            <w:fldChar w:fldCharType="end"/>
          </w:r>
          <w:r>
            <w:rPr>
              <w:rFonts w:ascii="仿宋" w:hAnsi="仿宋" w:eastAsia="仿宋"/>
              <w:sz w:val="32"/>
              <w:szCs w:val="32"/>
            </w:rPr>
            <w:fldChar w:fldCharType="end"/>
          </w:r>
        </w:p>
        <w:p>
          <w:pPr>
            <w:pStyle w:val="10"/>
            <w:tabs>
              <w:tab w:val="right" w:leader="dot" w:pos="8390"/>
            </w:tabs>
            <w:adjustRightInd w:val="0"/>
            <w:snapToGrid w:val="0"/>
            <w:spacing w:line="580" w:lineRule="exact"/>
            <w:rPr>
              <w:rFonts w:ascii="仿宋" w:hAnsi="仿宋" w:eastAsia="仿宋"/>
              <w:sz w:val="32"/>
              <w:szCs w:val="32"/>
            </w:rPr>
          </w:pPr>
          <w:r>
            <w:fldChar w:fldCharType="begin"/>
          </w:r>
          <w:r>
            <w:instrText xml:space="preserve"> HYPERLINK \l "_Toc70524132" </w:instrText>
          </w:r>
          <w:r>
            <w:fldChar w:fldCharType="separate"/>
          </w:r>
          <w:r>
            <w:rPr>
              <w:rStyle w:val="18"/>
              <w:rFonts w:hint="eastAsia" w:ascii="仿宋" w:hAnsi="仿宋" w:eastAsia="仿宋"/>
              <w:sz w:val="32"/>
              <w:szCs w:val="32"/>
            </w:rPr>
            <w:t>八、坚持以人为本，务实提高民生水平和百姓福祉</w:t>
          </w:r>
          <w:r>
            <w:rPr>
              <w:rFonts w:ascii="仿宋" w:hAnsi="仿宋" w:eastAsia="仿宋"/>
              <w:sz w:val="32"/>
              <w:szCs w:val="32"/>
            </w:rPr>
            <w:tab/>
          </w:r>
          <w:r>
            <w:rPr>
              <w:rFonts w:ascii="仿宋" w:hAnsi="仿宋" w:eastAsia="仿宋"/>
              <w:sz w:val="32"/>
              <w:szCs w:val="32"/>
            </w:rPr>
            <w:fldChar w:fldCharType="begin"/>
          </w:r>
          <w:r>
            <w:rPr>
              <w:rFonts w:ascii="仿宋" w:hAnsi="仿宋" w:eastAsia="仿宋"/>
              <w:sz w:val="32"/>
              <w:szCs w:val="32"/>
            </w:rPr>
            <w:instrText xml:space="preserve"> PAGEREF _Toc70524132 \h </w:instrText>
          </w:r>
          <w:r>
            <w:rPr>
              <w:rFonts w:ascii="仿宋" w:hAnsi="仿宋" w:eastAsia="仿宋"/>
              <w:sz w:val="32"/>
              <w:szCs w:val="32"/>
            </w:rPr>
            <w:fldChar w:fldCharType="separate"/>
          </w:r>
          <w:r>
            <w:rPr>
              <w:rFonts w:ascii="仿宋" w:hAnsi="仿宋" w:eastAsia="仿宋"/>
              <w:sz w:val="32"/>
              <w:szCs w:val="32"/>
            </w:rPr>
            <w:t>- 31 -</w:t>
          </w:r>
          <w:r>
            <w:rPr>
              <w:rFonts w:ascii="仿宋" w:hAnsi="仿宋" w:eastAsia="仿宋"/>
              <w:sz w:val="32"/>
              <w:szCs w:val="32"/>
            </w:rPr>
            <w:fldChar w:fldCharType="end"/>
          </w:r>
          <w:r>
            <w:rPr>
              <w:rFonts w:ascii="仿宋" w:hAnsi="仿宋" w:eastAsia="仿宋"/>
              <w:sz w:val="32"/>
              <w:szCs w:val="32"/>
            </w:rPr>
            <w:fldChar w:fldCharType="end"/>
          </w:r>
        </w:p>
        <w:p>
          <w:pPr>
            <w:pStyle w:val="11"/>
            <w:tabs>
              <w:tab w:val="right" w:leader="dot" w:pos="8390"/>
            </w:tabs>
            <w:adjustRightInd w:val="0"/>
            <w:snapToGrid w:val="0"/>
            <w:spacing w:line="580" w:lineRule="exact"/>
            <w:rPr>
              <w:rFonts w:ascii="仿宋" w:hAnsi="仿宋" w:eastAsia="仿宋"/>
              <w:sz w:val="32"/>
              <w:szCs w:val="32"/>
            </w:rPr>
          </w:pPr>
          <w:r>
            <w:fldChar w:fldCharType="begin"/>
          </w:r>
          <w:r>
            <w:instrText xml:space="preserve"> HYPERLINK \l "_Toc70524133" </w:instrText>
          </w:r>
          <w:r>
            <w:fldChar w:fldCharType="separate"/>
          </w:r>
          <w:r>
            <w:rPr>
              <w:rStyle w:val="18"/>
              <w:rFonts w:ascii="仿宋" w:hAnsi="仿宋" w:eastAsia="仿宋" w:cs="楷体_GB2312"/>
              <w:sz w:val="32"/>
              <w:szCs w:val="32"/>
            </w:rPr>
            <w:t>1.</w:t>
          </w:r>
          <w:r>
            <w:rPr>
              <w:rStyle w:val="18"/>
              <w:rFonts w:hint="eastAsia" w:ascii="仿宋" w:hAnsi="仿宋" w:eastAsia="仿宋" w:cs="楷体_GB2312"/>
              <w:sz w:val="32"/>
              <w:szCs w:val="32"/>
            </w:rPr>
            <w:t>推动市政设施的高标准配置</w:t>
          </w:r>
          <w:r>
            <w:rPr>
              <w:rFonts w:ascii="仿宋" w:hAnsi="仿宋" w:eastAsia="仿宋"/>
              <w:sz w:val="32"/>
              <w:szCs w:val="32"/>
            </w:rPr>
            <w:tab/>
          </w:r>
          <w:r>
            <w:rPr>
              <w:rFonts w:ascii="仿宋" w:hAnsi="仿宋" w:eastAsia="仿宋"/>
              <w:sz w:val="32"/>
              <w:szCs w:val="32"/>
            </w:rPr>
            <w:fldChar w:fldCharType="begin"/>
          </w:r>
          <w:r>
            <w:rPr>
              <w:rFonts w:ascii="仿宋" w:hAnsi="仿宋" w:eastAsia="仿宋"/>
              <w:sz w:val="32"/>
              <w:szCs w:val="32"/>
            </w:rPr>
            <w:instrText xml:space="preserve"> PAGEREF _Toc70524133 \h </w:instrText>
          </w:r>
          <w:r>
            <w:rPr>
              <w:rFonts w:ascii="仿宋" w:hAnsi="仿宋" w:eastAsia="仿宋"/>
              <w:sz w:val="32"/>
              <w:szCs w:val="32"/>
            </w:rPr>
            <w:fldChar w:fldCharType="separate"/>
          </w:r>
          <w:r>
            <w:rPr>
              <w:rFonts w:ascii="仿宋" w:hAnsi="仿宋" w:eastAsia="仿宋"/>
              <w:sz w:val="32"/>
              <w:szCs w:val="32"/>
            </w:rPr>
            <w:t>- 31 -</w:t>
          </w:r>
          <w:r>
            <w:rPr>
              <w:rFonts w:ascii="仿宋" w:hAnsi="仿宋" w:eastAsia="仿宋"/>
              <w:sz w:val="32"/>
              <w:szCs w:val="32"/>
            </w:rPr>
            <w:fldChar w:fldCharType="end"/>
          </w:r>
          <w:r>
            <w:rPr>
              <w:rFonts w:ascii="仿宋" w:hAnsi="仿宋" w:eastAsia="仿宋"/>
              <w:sz w:val="32"/>
              <w:szCs w:val="32"/>
            </w:rPr>
            <w:fldChar w:fldCharType="end"/>
          </w:r>
        </w:p>
        <w:p>
          <w:pPr>
            <w:pStyle w:val="11"/>
            <w:tabs>
              <w:tab w:val="right" w:leader="dot" w:pos="8390"/>
            </w:tabs>
            <w:adjustRightInd w:val="0"/>
            <w:snapToGrid w:val="0"/>
            <w:spacing w:line="580" w:lineRule="exact"/>
            <w:rPr>
              <w:rFonts w:ascii="仿宋" w:hAnsi="仿宋" w:eastAsia="仿宋"/>
              <w:sz w:val="32"/>
              <w:szCs w:val="32"/>
            </w:rPr>
          </w:pPr>
          <w:r>
            <w:fldChar w:fldCharType="begin"/>
          </w:r>
          <w:r>
            <w:instrText xml:space="preserve"> HYPERLINK \l "_Toc70524134" </w:instrText>
          </w:r>
          <w:r>
            <w:fldChar w:fldCharType="separate"/>
          </w:r>
          <w:r>
            <w:rPr>
              <w:rStyle w:val="18"/>
              <w:rFonts w:ascii="仿宋" w:hAnsi="仿宋" w:eastAsia="仿宋" w:cs="楷体_GB2312"/>
              <w:sz w:val="32"/>
              <w:szCs w:val="32"/>
            </w:rPr>
            <w:t>2.</w:t>
          </w:r>
          <w:r>
            <w:rPr>
              <w:rStyle w:val="18"/>
              <w:rFonts w:hint="eastAsia" w:ascii="仿宋" w:hAnsi="仿宋" w:eastAsia="仿宋" w:cs="楷体_GB2312"/>
              <w:sz w:val="32"/>
              <w:szCs w:val="32"/>
            </w:rPr>
            <w:t>推进公共服务均等化供给</w:t>
          </w:r>
          <w:r>
            <w:rPr>
              <w:rFonts w:ascii="仿宋" w:hAnsi="仿宋" w:eastAsia="仿宋"/>
              <w:sz w:val="32"/>
              <w:szCs w:val="32"/>
            </w:rPr>
            <w:tab/>
          </w:r>
          <w:r>
            <w:rPr>
              <w:rFonts w:ascii="仿宋" w:hAnsi="仿宋" w:eastAsia="仿宋"/>
              <w:sz w:val="32"/>
              <w:szCs w:val="32"/>
            </w:rPr>
            <w:fldChar w:fldCharType="begin"/>
          </w:r>
          <w:r>
            <w:rPr>
              <w:rFonts w:ascii="仿宋" w:hAnsi="仿宋" w:eastAsia="仿宋"/>
              <w:sz w:val="32"/>
              <w:szCs w:val="32"/>
            </w:rPr>
            <w:instrText xml:space="preserve"> PAGEREF _Toc70524134 \h </w:instrText>
          </w:r>
          <w:r>
            <w:rPr>
              <w:rFonts w:ascii="仿宋" w:hAnsi="仿宋" w:eastAsia="仿宋"/>
              <w:sz w:val="32"/>
              <w:szCs w:val="32"/>
            </w:rPr>
            <w:fldChar w:fldCharType="separate"/>
          </w:r>
          <w:r>
            <w:rPr>
              <w:rFonts w:ascii="仿宋" w:hAnsi="仿宋" w:eastAsia="仿宋"/>
              <w:sz w:val="32"/>
              <w:szCs w:val="32"/>
            </w:rPr>
            <w:t>- 31 -</w:t>
          </w:r>
          <w:r>
            <w:rPr>
              <w:rFonts w:ascii="仿宋" w:hAnsi="仿宋" w:eastAsia="仿宋"/>
              <w:sz w:val="32"/>
              <w:szCs w:val="32"/>
            </w:rPr>
            <w:fldChar w:fldCharType="end"/>
          </w:r>
          <w:r>
            <w:rPr>
              <w:rFonts w:ascii="仿宋" w:hAnsi="仿宋" w:eastAsia="仿宋"/>
              <w:sz w:val="32"/>
              <w:szCs w:val="32"/>
            </w:rPr>
            <w:fldChar w:fldCharType="end"/>
          </w:r>
        </w:p>
        <w:p>
          <w:pPr>
            <w:pStyle w:val="11"/>
            <w:tabs>
              <w:tab w:val="right" w:leader="dot" w:pos="8390"/>
            </w:tabs>
            <w:adjustRightInd w:val="0"/>
            <w:snapToGrid w:val="0"/>
            <w:spacing w:line="580" w:lineRule="exact"/>
            <w:rPr>
              <w:rFonts w:ascii="仿宋" w:hAnsi="仿宋" w:eastAsia="仿宋"/>
              <w:sz w:val="32"/>
              <w:szCs w:val="32"/>
            </w:rPr>
          </w:pPr>
          <w:r>
            <w:fldChar w:fldCharType="begin"/>
          </w:r>
          <w:r>
            <w:instrText xml:space="preserve"> HYPERLINK \l "_Toc70524135" </w:instrText>
          </w:r>
          <w:r>
            <w:fldChar w:fldCharType="separate"/>
          </w:r>
          <w:r>
            <w:rPr>
              <w:rStyle w:val="18"/>
              <w:rFonts w:ascii="仿宋" w:hAnsi="仿宋" w:eastAsia="仿宋" w:cs="楷体_GB2312"/>
              <w:sz w:val="32"/>
              <w:szCs w:val="32"/>
            </w:rPr>
            <w:t>3.</w:t>
          </w:r>
          <w:r>
            <w:rPr>
              <w:rStyle w:val="18"/>
              <w:rFonts w:hint="eastAsia" w:ascii="仿宋" w:hAnsi="仿宋" w:eastAsia="仿宋" w:cs="楷体_GB2312"/>
              <w:sz w:val="32"/>
              <w:szCs w:val="32"/>
            </w:rPr>
            <w:t>拓宽新市民就业和增收渠道</w:t>
          </w:r>
          <w:r>
            <w:rPr>
              <w:rFonts w:ascii="仿宋" w:hAnsi="仿宋" w:eastAsia="仿宋"/>
              <w:sz w:val="32"/>
              <w:szCs w:val="32"/>
            </w:rPr>
            <w:tab/>
          </w:r>
          <w:r>
            <w:rPr>
              <w:rFonts w:ascii="仿宋" w:hAnsi="仿宋" w:eastAsia="仿宋"/>
              <w:sz w:val="32"/>
              <w:szCs w:val="32"/>
            </w:rPr>
            <w:fldChar w:fldCharType="begin"/>
          </w:r>
          <w:r>
            <w:rPr>
              <w:rFonts w:ascii="仿宋" w:hAnsi="仿宋" w:eastAsia="仿宋"/>
              <w:sz w:val="32"/>
              <w:szCs w:val="32"/>
            </w:rPr>
            <w:instrText xml:space="preserve"> PAGEREF _Toc70524135 \h </w:instrText>
          </w:r>
          <w:r>
            <w:rPr>
              <w:rFonts w:ascii="仿宋" w:hAnsi="仿宋" w:eastAsia="仿宋"/>
              <w:sz w:val="32"/>
              <w:szCs w:val="32"/>
            </w:rPr>
            <w:fldChar w:fldCharType="separate"/>
          </w:r>
          <w:r>
            <w:rPr>
              <w:rFonts w:ascii="仿宋" w:hAnsi="仿宋" w:eastAsia="仿宋"/>
              <w:sz w:val="32"/>
              <w:szCs w:val="32"/>
            </w:rPr>
            <w:t>- 33 -</w:t>
          </w:r>
          <w:r>
            <w:rPr>
              <w:rFonts w:ascii="仿宋" w:hAnsi="仿宋" w:eastAsia="仿宋"/>
              <w:sz w:val="32"/>
              <w:szCs w:val="32"/>
            </w:rPr>
            <w:fldChar w:fldCharType="end"/>
          </w:r>
          <w:r>
            <w:rPr>
              <w:rFonts w:ascii="仿宋" w:hAnsi="仿宋" w:eastAsia="仿宋"/>
              <w:sz w:val="32"/>
              <w:szCs w:val="32"/>
            </w:rPr>
            <w:fldChar w:fldCharType="end"/>
          </w:r>
        </w:p>
        <w:p>
          <w:pPr>
            <w:pStyle w:val="11"/>
            <w:tabs>
              <w:tab w:val="right" w:leader="dot" w:pos="8390"/>
            </w:tabs>
            <w:adjustRightInd w:val="0"/>
            <w:snapToGrid w:val="0"/>
            <w:spacing w:line="580" w:lineRule="exact"/>
            <w:rPr>
              <w:rFonts w:ascii="仿宋" w:hAnsi="仿宋" w:eastAsia="仿宋"/>
              <w:sz w:val="32"/>
              <w:szCs w:val="32"/>
            </w:rPr>
          </w:pPr>
          <w:r>
            <w:fldChar w:fldCharType="begin"/>
          </w:r>
          <w:r>
            <w:instrText xml:space="preserve"> HYPERLINK \l "_Toc70524136" </w:instrText>
          </w:r>
          <w:r>
            <w:fldChar w:fldCharType="separate"/>
          </w:r>
          <w:r>
            <w:rPr>
              <w:rStyle w:val="18"/>
              <w:rFonts w:hint="eastAsia" w:ascii="仿宋" w:hAnsi="仿宋" w:eastAsia="仿宋" w:cs="楷体"/>
              <w:bCs/>
              <w:sz w:val="32"/>
              <w:szCs w:val="32"/>
            </w:rPr>
            <w:t>专栏</w:t>
          </w:r>
          <w:r>
            <w:rPr>
              <w:rStyle w:val="18"/>
              <w:rFonts w:ascii="仿宋" w:hAnsi="仿宋" w:eastAsia="仿宋" w:cs="楷体"/>
              <w:bCs/>
              <w:sz w:val="32"/>
              <w:szCs w:val="32"/>
            </w:rPr>
            <w:t xml:space="preserve">5 </w:t>
          </w:r>
          <w:r>
            <w:rPr>
              <w:rStyle w:val="18"/>
              <w:rFonts w:hint="eastAsia" w:ascii="仿宋" w:hAnsi="仿宋" w:eastAsia="仿宋" w:cs="楷体"/>
              <w:bCs/>
              <w:sz w:val="32"/>
              <w:szCs w:val="32"/>
            </w:rPr>
            <w:t>民生福祉改善重点工程</w:t>
          </w:r>
          <w:r>
            <w:rPr>
              <w:rFonts w:ascii="仿宋" w:hAnsi="仿宋" w:eastAsia="仿宋"/>
              <w:sz w:val="32"/>
              <w:szCs w:val="32"/>
            </w:rPr>
            <w:tab/>
          </w:r>
          <w:r>
            <w:rPr>
              <w:rFonts w:ascii="仿宋" w:hAnsi="仿宋" w:eastAsia="仿宋"/>
              <w:sz w:val="32"/>
              <w:szCs w:val="32"/>
            </w:rPr>
            <w:fldChar w:fldCharType="begin"/>
          </w:r>
          <w:r>
            <w:rPr>
              <w:rFonts w:ascii="仿宋" w:hAnsi="仿宋" w:eastAsia="仿宋"/>
              <w:sz w:val="32"/>
              <w:szCs w:val="32"/>
            </w:rPr>
            <w:instrText xml:space="preserve"> PAGEREF _Toc70524136 \h </w:instrText>
          </w:r>
          <w:r>
            <w:rPr>
              <w:rFonts w:ascii="仿宋" w:hAnsi="仿宋" w:eastAsia="仿宋"/>
              <w:sz w:val="32"/>
              <w:szCs w:val="32"/>
            </w:rPr>
            <w:fldChar w:fldCharType="separate"/>
          </w:r>
          <w:r>
            <w:rPr>
              <w:rFonts w:ascii="仿宋" w:hAnsi="仿宋" w:eastAsia="仿宋"/>
              <w:sz w:val="32"/>
              <w:szCs w:val="32"/>
            </w:rPr>
            <w:t>- 33 -</w:t>
          </w:r>
          <w:r>
            <w:rPr>
              <w:rFonts w:ascii="仿宋" w:hAnsi="仿宋" w:eastAsia="仿宋"/>
              <w:sz w:val="32"/>
              <w:szCs w:val="32"/>
            </w:rPr>
            <w:fldChar w:fldCharType="end"/>
          </w:r>
          <w:r>
            <w:rPr>
              <w:rFonts w:ascii="仿宋" w:hAnsi="仿宋" w:eastAsia="仿宋"/>
              <w:sz w:val="32"/>
              <w:szCs w:val="32"/>
            </w:rPr>
            <w:fldChar w:fldCharType="end"/>
          </w:r>
        </w:p>
        <w:p>
          <w:pPr>
            <w:pStyle w:val="10"/>
            <w:tabs>
              <w:tab w:val="right" w:leader="dot" w:pos="8390"/>
            </w:tabs>
            <w:adjustRightInd w:val="0"/>
            <w:snapToGrid w:val="0"/>
            <w:spacing w:line="580" w:lineRule="exact"/>
            <w:rPr>
              <w:rFonts w:ascii="仿宋" w:hAnsi="仿宋" w:eastAsia="仿宋"/>
              <w:sz w:val="32"/>
              <w:szCs w:val="32"/>
            </w:rPr>
          </w:pPr>
          <w:r>
            <w:fldChar w:fldCharType="begin"/>
          </w:r>
          <w:r>
            <w:instrText xml:space="preserve"> HYPERLINK \l "_Toc70524137" </w:instrText>
          </w:r>
          <w:r>
            <w:fldChar w:fldCharType="separate"/>
          </w:r>
          <w:r>
            <w:rPr>
              <w:rStyle w:val="18"/>
              <w:rFonts w:hint="eastAsia" w:ascii="仿宋" w:hAnsi="仿宋" w:eastAsia="仿宋"/>
              <w:sz w:val="32"/>
              <w:szCs w:val="32"/>
            </w:rPr>
            <w:t>九、强化保障措施，确保规划全面实施</w:t>
          </w:r>
          <w:r>
            <w:rPr>
              <w:rFonts w:ascii="仿宋" w:hAnsi="仿宋" w:eastAsia="仿宋"/>
              <w:sz w:val="32"/>
              <w:szCs w:val="32"/>
            </w:rPr>
            <w:tab/>
          </w:r>
          <w:r>
            <w:rPr>
              <w:rFonts w:ascii="仿宋" w:hAnsi="仿宋" w:eastAsia="仿宋"/>
              <w:sz w:val="32"/>
              <w:szCs w:val="32"/>
            </w:rPr>
            <w:fldChar w:fldCharType="begin"/>
          </w:r>
          <w:r>
            <w:rPr>
              <w:rFonts w:ascii="仿宋" w:hAnsi="仿宋" w:eastAsia="仿宋"/>
              <w:sz w:val="32"/>
              <w:szCs w:val="32"/>
            </w:rPr>
            <w:instrText xml:space="preserve"> PAGEREF _Toc70524137 \h </w:instrText>
          </w:r>
          <w:r>
            <w:rPr>
              <w:rFonts w:ascii="仿宋" w:hAnsi="仿宋" w:eastAsia="仿宋"/>
              <w:sz w:val="32"/>
              <w:szCs w:val="32"/>
            </w:rPr>
            <w:fldChar w:fldCharType="separate"/>
          </w:r>
          <w:r>
            <w:rPr>
              <w:rFonts w:ascii="仿宋" w:hAnsi="仿宋" w:eastAsia="仿宋"/>
              <w:sz w:val="32"/>
              <w:szCs w:val="32"/>
            </w:rPr>
            <w:t>- 34 -</w:t>
          </w:r>
          <w:r>
            <w:rPr>
              <w:rFonts w:ascii="仿宋" w:hAnsi="仿宋" w:eastAsia="仿宋"/>
              <w:sz w:val="32"/>
              <w:szCs w:val="32"/>
            </w:rPr>
            <w:fldChar w:fldCharType="end"/>
          </w:r>
          <w:r>
            <w:rPr>
              <w:rFonts w:ascii="仿宋" w:hAnsi="仿宋" w:eastAsia="仿宋"/>
              <w:sz w:val="32"/>
              <w:szCs w:val="32"/>
            </w:rPr>
            <w:fldChar w:fldCharType="end"/>
          </w:r>
        </w:p>
        <w:p>
          <w:pPr>
            <w:pStyle w:val="11"/>
            <w:tabs>
              <w:tab w:val="right" w:leader="dot" w:pos="8390"/>
            </w:tabs>
            <w:adjustRightInd w:val="0"/>
            <w:snapToGrid w:val="0"/>
            <w:spacing w:line="580" w:lineRule="exact"/>
            <w:rPr>
              <w:rFonts w:ascii="仿宋" w:hAnsi="仿宋" w:eastAsia="仿宋"/>
              <w:sz w:val="32"/>
              <w:szCs w:val="32"/>
            </w:rPr>
          </w:pPr>
          <w:r>
            <w:fldChar w:fldCharType="begin"/>
          </w:r>
          <w:r>
            <w:instrText xml:space="preserve"> HYPERLINK \l "_Toc70524138" </w:instrText>
          </w:r>
          <w:r>
            <w:fldChar w:fldCharType="separate"/>
          </w:r>
          <w:r>
            <w:rPr>
              <w:rStyle w:val="18"/>
              <w:rFonts w:ascii="仿宋" w:hAnsi="仿宋" w:eastAsia="仿宋" w:cs="楷体_GB2312"/>
              <w:sz w:val="32"/>
              <w:szCs w:val="32"/>
            </w:rPr>
            <w:t>1.</w:t>
          </w:r>
          <w:r>
            <w:rPr>
              <w:rStyle w:val="18"/>
              <w:rFonts w:hint="eastAsia" w:ascii="仿宋" w:hAnsi="仿宋" w:eastAsia="仿宋" w:cs="楷体_GB2312"/>
              <w:sz w:val="32"/>
              <w:szCs w:val="32"/>
            </w:rPr>
            <w:t>加强组织领导</w:t>
          </w:r>
          <w:r>
            <w:rPr>
              <w:rFonts w:ascii="仿宋" w:hAnsi="仿宋" w:eastAsia="仿宋"/>
              <w:sz w:val="32"/>
              <w:szCs w:val="32"/>
            </w:rPr>
            <w:tab/>
          </w:r>
          <w:r>
            <w:rPr>
              <w:rFonts w:ascii="仿宋" w:hAnsi="仿宋" w:eastAsia="仿宋"/>
              <w:sz w:val="32"/>
              <w:szCs w:val="32"/>
            </w:rPr>
            <w:fldChar w:fldCharType="begin"/>
          </w:r>
          <w:r>
            <w:rPr>
              <w:rFonts w:ascii="仿宋" w:hAnsi="仿宋" w:eastAsia="仿宋"/>
              <w:sz w:val="32"/>
              <w:szCs w:val="32"/>
            </w:rPr>
            <w:instrText xml:space="preserve"> PAGEREF _Toc70524138 \h </w:instrText>
          </w:r>
          <w:r>
            <w:rPr>
              <w:rFonts w:ascii="仿宋" w:hAnsi="仿宋" w:eastAsia="仿宋"/>
              <w:sz w:val="32"/>
              <w:szCs w:val="32"/>
            </w:rPr>
            <w:fldChar w:fldCharType="separate"/>
          </w:r>
          <w:r>
            <w:rPr>
              <w:rFonts w:ascii="仿宋" w:hAnsi="仿宋" w:eastAsia="仿宋"/>
              <w:sz w:val="32"/>
              <w:szCs w:val="32"/>
            </w:rPr>
            <w:t>- 34 -</w:t>
          </w:r>
          <w:r>
            <w:rPr>
              <w:rFonts w:ascii="仿宋" w:hAnsi="仿宋" w:eastAsia="仿宋"/>
              <w:sz w:val="32"/>
              <w:szCs w:val="32"/>
            </w:rPr>
            <w:fldChar w:fldCharType="end"/>
          </w:r>
          <w:r>
            <w:rPr>
              <w:rFonts w:ascii="仿宋" w:hAnsi="仿宋" w:eastAsia="仿宋"/>
              <w:sz w:val="32"/>
              <w:szCs w:val="32"/>
            </w:rPr>
            <w:fldChar w:fldCharType="end"/>
          </w:r>
        </w:p>
        <w:p>
          <w:pPr>
            <w:pStyle w:val="11"/>
            <w:tabs>
              <w:tab w:val="right" w:leader="dot" w:pos="8390"/>
            </w:tabs>
            <w:adjustRightInd w:val="0"/>
            <w:snapToGrid w:val="0"/>
            <w:spacing w:line="580" w:lineRule="exact"/>
            <w:rPr>
              <w:rFonts w:ascii="仿宋" w:hAnsi="仿宋" w:eastAsia="仿宋"/>
              <w:sz w:val="32"/>
              <w:szCs w:val="32"/>
            </w:rPr>
          </w:pPr>
          <w:r>
            <w:fldChar w:fldCharType="begin"/>
          </w:r>
          <w:r>
            <w:instrText xml:space="preserve"> HYPERLINK \l "_Toc70524139" </w:instrText>
          </w:r>
          <w:r>
            <w:fldChar w:fldCharType="separate"/>
          </w:r>
          <w:r>
            <w:rPr>
              <w:rStyle w:val="18"/>
              <w:rFonts w:ascii="仿宋" w:hAnsi="仿宋" w:eastAsia="仿宋" w:cs="楷体_GB2312"/>
              <w:sz w:val="32"/>
              <w:szCs w:val="32"/>
            </w:rPr>
            <w:t>2.</w:t>
          </w:r>
          <w:r>
            <w:rPr>
              <w:rStyle w:val="18"/>
              <w:rFonts w:hint="eastAsia" w:ascii="仿宋" w:hAnsi="仿宋" w:eastAsia="仿宋" w:cs="楷体_GB2312"/>
              <w:sz w:val="32"/>
              <w:szCs w:val="32"/>
            </w:rPr>
            <w:t>坚持规划引领</w:t>
          </w:r>
          <w:r>
            <w:rPr>
              <w:rFonts w:ascii="仿宋" w:hAnsi="仿宋" w:eastAsia="仿宋"/>
              <w:sz w:val="32"/>
              <w:szCs w:val="32"/>
            </w:rPr>
            <w:tab/>
          </w:r>
          <w:r>
            <w:rPr>
              <w:rFonts w:ascii="仿宋" w:hAnsi="仿宋" w:eastAsia="仿宋"/>
              <w:sz w:val="32"/>
              <w:szCs w:val="32"/>
            </w:rPr>
            <w:fldChar w:fldCharType="begin"/>
          </w:r>
          <w:r>
            <w:rPr>
              <w:rFonts w:ascii="仿宋" w:hAnsi="仿宋" w:eastAsia="仿宋"/>
              <w:sz w:val="32"/>
              <w:szCs w:val="32"/>
            </w:rPr>
            <w:instrText xml:space="preserve"> PAGEREF _Toc70524139 \h </w:instrText>
          </w:r>
          <w:r>
            <w:rPr>
              <w:rFonts w:ascii="仿宋" w:hAnsi="仿宋" w:eastAsia="仿宋"/>
              <w:sz w:val="32"/>
              <w:szCs w:val="32"/>
            </w:rPr>
            <w:fldChar w:fldCharType="separate"/>
          </w:r>
          <w:r>
            <w:rPr>
              <w:rFonts w:ascii="仿宋" w:hAnsi="仿宋" w:eastAsia="仿宋"/>
              <w:sz w:val="32"/>
              <w:szCs w:val="32"/>
            </w:rPr>
            <w:t>- 34 -</w:t>
          </w:r>
          <w:r>
            <w:rPr>
              <w:rFonts w:ascii="仿宋" w:hAnsi="仿宋" w:eastAsia="仿宋"/>
              <w:sz w:val="32"/>
              <w:szCs w:val="32"/>
            </w:rPr>
            <w:fldChar w:fldCharType="end"/>
          </w:r>
          <w:r>
            <w:rPr>
              <w:rFonts w:ascii="仿宋" w:hAnsi="仿宋" w:eastAsia="仿宋"/>
              <w:sz w:val="32"/>
              <w:szCs w:val="32"/>
            </w:rPr>
            <w:fldChar w:fldCharType="end"/>
          </w:r>
        </w:p>
        <w:p>
          <w:pPr>
            <w:pStyle w:val="11"/>
            <w:tabs>
              <w:tab w:val="right" w:leader="dot" w:pos="8390"/>
            </w:tabs>
            <w:adjustRightInd w:val="0"/>
            <w:snapToGrid w:val="0"/>
            <w:spacing w:line="580" w:lineRule="exact"/>
            <w:rPr>
              <w:rFonts w:ascii="仿宋" w:hAnsi="仿宋" w:eastAsia="仿宋"/>
              <w:sz w:val="32"/>
              <w:szCs w:val="32"/>
            </w:rPr>
          </w:pPr>
          <w:r>
            <w:fldChar w:fldCharType="begin"/>
          </w:r>
          <w:r>
            <w:instrText xml:space="preserve"> HYPERLINK \l "_Toc70524140" </w:instrText>
          </w:r>
          <w:r>
            <w:fldChar w:fldCharType="separate"/>
          </w:r>
          <w:r>
            <w:rPr>
              <w:rStyle w:val="18"/>
              <w:rFonts w:ascii="仿宋" w:hAnsi="仿宋" w:eastAsia="仿宋" w:cs="楷体_GB2312"/>
              <w:sz w:val="32"/>
              <w:szCs w:val="32"/>
            </w:rPr>
            <w:t>3.</w:t>
          </w:r>
          <w:r>
            <w:rPr>
              <w:rStyle w:val="18"/>
              <w:rFonts w:hint="eastAsia" w:ascii="仿宋" w:hAnsi="仿宋" w:eastAsia="仿宋" w:cs="楷体_GB2312"/>
              <w:sz w:val="32"/>
              <w:szCs w:val="32"/>
            </w:rPr>
            <w:t>强化用地保障</w:t>
          </w:r>
          <w:r>
            <w:rPr>
              <w:rFonts w:ascii="仿宋" w:hAnsi="仿宋" w:eastAsia="仿宋"/>
              <w:sz w:val="32"/>
              <w:szCs w:val="32"/>
            </w:rPr>
            <w:tab/>
          </w:r>
          <w:r>
            <w:rPr>
              <w:rFonts w:ascii="仿宋" w:hAnsi="仿宋" w:eastAsia="仿宋"/>
              <w:sz w:val="32"/>
              <w:szCs w:val="32"/>
            </w:rPr>
            <w:fldChar w:fldCharType="begin"/>
          </w:r>
          <w:r>
            <w:rPr>
              <w:rFonts w:ascii="仿宋" w:hAnsi="仿宋" w:eastAsia="仿宋"/>
              <w:sz w:val="32"/>
              <w:szCs w:val="32"/>
            </w:rPr>
            <w:instrText xml:space="preserve"> PAGEREF _Toc70524140 \h </w:instrText>
          </w:r>
          <w:r>
            <w:rPr>
              <w:rFonts w:ascii="仿宋" w:hAnsi="仿宋" w:eastAsia="仿宋"/>
              <w:sz w:val="32"/>
              <w:szCs w:val="32"/>
            </w:rPr>
            <w:fldChar w:fldCharType="separate"/>
          </w:r>
          <w:r>
            <w:rPr>
              <w:rFonts w:ascii="仿宋" w:hAnsi="仿宋" w:eastAsia="仿宋"/>
              <w:sz w:val="32"/>
              <w:szCs w:val="32"/>
            </w:rPr>
            <w:t>- 35 -</w:t>
          </w:r>
          <w:r>
            <w:rPr>
              <w:rFonts w:ascii="仿宋" w:hAnsi="仿宋" w:eastAsia="仿宋"/>
              <w:sz w:val="32"/>
              <w:szCs w:val="32"/>
            </w:rPr>
            <w:fldChar w:fldCharType="end"/>
          </w:r>
          <w:r>
            <w:rPr>
              <w:rFonts w:ascii="仿宋" w:hAnsi="仿宋" w:eastAsia="仿宋"/>
              <w:sz w:val="32"/>
              <w:szCs w:val="32"/>
            </w:rPr>
            <w:fldChar w:fldCharType="end"/>
          </w:r>
        </w:p>
        <w:p>
          <w:pPr>
            <w:pStyle w:val="11"/>
            <w:tabs>
              <w:tab w:val="right" w:leader="dot" w:pos="8390"/>
            </w:tabs>
            <w:adjustRightInd w:val="0"/>
            <w:snapToGrid w:val="0"/>
            <w:spacing w:line="580" w:lineRule="exact"/>
            <w:rPr>
              <w:rFonts w:ascii="仿宋" w:hAnsi="仿宋" w:eastAsia="仿宋"/>
              <w:sz w:val="32"/>
              <w:szCs w:val="32"/>
            </w:rPr>
          </w:pPr>
          <w:r>
            <w:fldChar w:fldCharType="begin"/>
          </w:r>
          <w:r>
            <w:instrText xml:space="preserve"> HYPERLINK \l "_Toc70524141" </w:instrText>
          </w:r>
          <w:r>
            <w:fldChar w:fldCharType="separate"/>
          </w:r>
          <w:r>
            <w:rPr>
              <w:rStyle w:val="18"/>
              <w:rFonts w:ascii="仿宋" w:hAnsi="仿宋" w:eastAsia="仿宋" w:cs="楷体_GB2312"/>
              <w:sz w:val="32"/>
              <w:szCs w:val="32"/>
            </w:rPr>
            <w:t>4.</w:t>
          </w:r>
          <w:r>
            <w:rPr>
              <w:rStyle w:val="18"/>
              <w:rFonts w:hint="eastAsia" w:ascii="仿宋" w:hAnsi="仿宋" w:eastAsia="仿宋" w:cs="楷体_GB2312"/>
              <w:sz w:val="32"/>
              <w:szCs w:val="32"/>
            </w:rPr>
            <w:t>完善资金保障</w:t>
          </w:r>
          <w:r>
            <w:rPr>
              <w:rFonts w:ascii="仿宋" w:hAnsi="仿宋" w:eastAsia="仿宋"/>
              <w:sz w:val="32"/>
              <w:szCs w:val="32"/>
            </w:rPr>
            <w:tab/>
          </w:r>
          <w:r>
            <w:rPr>
              <w:rFonts w:ascii="仿宋" w:hAnsi="仿宋" w:eastAsia="仿宋"/>
              <w:sz w:val="32"/>
              <w:szCs w:val="32"/>
            </w:rPr>
            <w:fldChar w:fldCharType="begin"/>
          </w:r>
          <w:r>
            <w:rPr>
              <w:rFonts w:ascii="仿宋" w:hAnsi="仿宋" w:eastAsia="仿宋"/>
              <w:sz w:val="32"/>
              <w:szCs w:val="32"/>
            </w:rPr>
            <w:instrText xml:space="preserve"> PAGEREF _Toc70524141 \h </w:instrText>
          </w:r>
          <w:r>
            <w:rPr>
              <w:rFonts w:ascii="仿宋" w:hAnsi="仿宋" w:eastAsia="仿宋"/>
              <w:sz w:val="32"/>
              <w:szCs w:val="32"/>
            </w:rPr>
            <w:fldChar w:fldCharType="separate"/>
          </w:r>
          <w:r>
            <w:rPr>
              <w:rFonts w:ascii="仿宋" w:hAnsi="仿宋" w:eastAsia="仿宋"/>
              <w:sz w:val="32"/>
              <w:szCs w:val="32"/>
            </w:rPr>
            <w:t>- 35 -</w:t>
          </w:r>
          <w:r>
            <w:rPr>
              <w:rFonts w:ascii="仿宋" w:hAnsi="仿宋" w:eastAsia="仿宋"/>
              <w:sz w:val="32"/>
              <w:szCs w:val="32"/>
            </w:rPr>
            <w:fldChar w:fldCharType="end"/>
          </w:r>
          <w:r>
            <w:rPr>
              <w:rFonts w:ascii="仿宋" w:hAnsi="仿宋" w:eastAsia="仿宋"/>
              <w:sz w:val="32"/>
              <w:szCs w:val="32"/>
            </w:rPr>
            <w:fldChar w:fldCharType="end"/>
          </w:r>
        </w:p>
        <w:p>
          <w:pPr>
            <w:pStyle w:val="11"/>
            <w:tabs>
              <w:tab w:val="right" w:leader="dot" w:pos="8390"/>
            </w:tabs>
            <w:adjustRightInd w:val="0"/>
            <w:snapToGrid w:val="0"/>
            <w:spacing w:line="580" w:lineRule="exact"/>
            <w:rPr>
              <w:rFonts w:ascii="仿宋" w:hAnsi="仿宋" w:eastAsia="仿宋"/>
              <w:sz w:val="32"/>
              <w:szCs w:val="32"/>
            </w:rPr>
          </w:pPr>
          <w:r>
            <w:fldChar w:fldCharType="begin"/>
          </w:r>
          <w:r>
            <w:instrText xml:space="preserve"> HYPERLINK \l "_Toc70524142" </w:instrText>
          </w:r>
          <w:r>
            <w:fldChar w:fldCharType="separate"/>
          </w:r>
          <w:r>
            <w:rPr>
              <w:rStyle w:val="18"/>
              <w:rFonts w:ascii="仿宋" w:hAnsi="仿宋" w:eastAsia="仿宋" w:cs="楷体_GB2312"/>
              <w:sz w:val="32"/>
              <w:szCs w:val="32"/>
            </w:rPr>
            <w:t>5.</w:t>
          </w:r>
          <w:r>
            <w:rPr>
              <w:rStyle w:val="18"/>
              <w:rFonts w:hint="eastAsia" w:ascii="仿宋" w:hAnsi="仿宋" w:eastAsia="仿宋" w:cs="楷体_GB2312"/>
              <w:sz w:val="32"/>
              <w:szCs w:val="32"/>
            </w:rPr>
            <w:t>突出人才保障</w:t>
          </w:r>
          <w:r>
            <w:rPr>
              <w:rFonts w:ascii="仿宋" w:hAnsi="仿宋" w:eastAsia="仿宋"/>
              <w:sz w:val="32"/>
              <w:szCs w:val="32"/>
            </w:rPr>
            <w:tab/>
          </w:r>
          <w:r>
            <w:rPr>
              <w:rFonts w:ascii="仿宋" w:hAnsi="仿宋" w:eastAsia="仿宋"/>
              <w:sz w:val="32"/>
              <w:szCs w:val="32"/>
            </w:rPr>
            <w:fldChar w:fldCharType="begin"/>
          </w:r>
          <w:r>
            <w:rPr>
              <w:rFonts w:ascii="仿宋" w:hAnsi="仿宋" w:eastAsia="仿宋"/>
              <w:sz w:val="32"/>
              <w:szCs w:val="32"/>
            </w:rPr>
            <w:instrText xml:space="preserve"> PAGEREF _Toc70524142 \h </w:instrText>
          </w:r>
          <w:r>
            <w:rPr>
              <w:rFonts w:ascii="仿宋" w:hAnsi="仿宋" w:eastAsia="仿宋"/>
              <w:sz w:val="32"/>
              <w:szCs w:val="32"/>
            </w:rPr>
            <w:fldChar w:fldCharType="separate"/>
          </w:r>
          <w:r>
            <w:rPr>
              <w:rFonts w:ascii="仿宋" w:hAnsi="仿宋" w:eastAsia="仿宋"/>
              <w:sz w:val="32"/>
              <w:szCs w:val="32"/>
            </w:rPr>
            <w:t>- 36 -</w:t>
          </w:r>
          <w:r>
            <w:rPr>
              <w:rFonts w:ascii="仿宋" w:hAnsi="仿宋" w:eastAsia="仿宋"/>
              <w:sz w:val="32"/>
              <w:szCs w:val="32"/>
            </w:rPr>
            <w:fldChar w:fldCharType="end"/>
          </w:r>
          <w:r>
            <w:rPr>
              <w:rFonts w:ascii="仿宋" w:hAnsi="仿宋" w:eastAsia="仿宋"/>
              <w:sz w:val="32"/>
              <w:szCs w:val="32"/>
            </w:rPr>
            <w:fldChar w:fldCharType="end"/>
          </w:r>
        </w:p>
        <w:p>
          <w:pPr>
            <w:pStyle w:val="11"/>
            <w:tabs>
              <w:tab w:val="right" w:leader="dot" w:pos="8400"/>
            </w:tabs>
            <w:adjustRightInd w:val="0"/>
            <w:snapToGrid w:val="0"/>
            <w:spacing w:line="580" w:lineRule="exact"/>
            <w:ind w:left="-199" w:leftChars="0" w:firstLine="563" w:firstLineChars="176"/>
            <w:rPr>
              <w:rFonts w:ascii="仿宋" w:hAnsi="仿宋" w:eastAsia="仿宋" w:cs="宋体"/>
              <w:sz w:val="32"/>
              <w:szCs w:val="32"/>
            </w:rPr>
          </w:pPr>
          <w:r>
            <w:rPr>
              <w:rFonts w:hint="eastAsia" w:ascii="仿宋" w:hAnsi="仿宋" w:eastAsia="仿宋" w:cs="仿宋"/>
              <w:sz w:val="32"/>
              <w:szCs w:val="32"/>
            </w:rPr>
            <w:fldChar w:fldCharType="end"/>
          </w:r>
        </w:p>
      </w:sdtContent>
    </w:sdt>
    <w:p>
      <w:pPr>
        <w:spacing w:line="580" w:lineRule="exact"/>
        <w:ind w:left="-125" w:firstLine="492" w:firstLineChars="176"/>
        <w:jc w:val="left"/>
        <w:rPr>
          <w:rFonts w:ascii="仿宋" w:hAnsi="仿宋" w:eastAsia="仿宋" w:cs="仿宋"/>
          <w:sz w:val="28"/>
          <w:szCs w:val="28"/>
        </w:rPr>
        <w:sectPr>
          <w:pgSz w:w="11906" w:h="16838"/>
          <w:pgMar w:top="1440" w:right="1701" w:bottom="1440" w:left="1701"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ind w:left="0" w:firstLine="0" w:firstLineChars="0"/>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东丽区农业农村现代化“十四五”规划</w:t>
      </w:r>
    </w:p>
    <w:p>
      <w:pPr>
        <w:spacing w:line="360" w:lineRule="auto"/>
        <w:ind w:left="-125" w:firstLine="492" w:firstLineChars="176"/>
        <w:jc w:val="left"/>
        <w:rPr>
          <w:rFonts w:ascii="仿宋" w:hAnsi="仿宋" w:eastAsia="仿宋" w:cs="仿宋"/>
          <w:sz w:val="28"/>
          <w:szCs w:val="28"/>
        </w:rPr>
      </w:pPr>
    </w:p>
    <w:p>
      <w:pPr>
        <w:pageBreakBefore w:val="0"/>
        <w:kinsoku/>
        <w:wordWrap/>
        <w:overflowPunct/>
        <w:topLinePunct w:val="0"/>
        <w:autoSpaceDE/>
        <w:autoSpaceDN/>
        <w:bidi w:val="0"/>
        <w:adjustRightInd w:val="0"/>
        <w:snapToGrid w:val="0"/>
        <w:spacing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 w:eastAsia="仿宋_GB2312" w:cs="仿宋"/>
          <w:sz w:val="32"/>
          <w:szCs w:val="32"/>
        </w:rPr>
        <w:t>“</w:t>
      </w:r>
      <w:r>
        <w:rPr>
          <w:rFonts w:hint="eastAsia" w:ascii="仿宋_GB2312" w:hAnsi="仿宋_GB2312" w:eastAsia="仿宋_GB2312" w:cs="仿宋_GB2312"/>
          <w:sz w:val="32"/>
          <w:szCs w:val="32"/>
        </w:rPr>
        <w:t>十四五”时期，是东丽区由全面建成高质量小康社会向全面开启社会主义现代化都市新区新征程的第一个五年，也是我区全面推进乡村振兴战略，加快农业农村现代化建设的关键时期，科学编制并实施好农业农村现代化“十四五”规划具有重要意义。</w:t>
      </w:r>
    </w:p>
    <w:p>
      <w:pPr>
        <w:pageBreakBefore w:val="0"/>
        <w:kinsoku/>
        <w:wordWrap/>
        <w:overflowPunct/>
        <w:topLinePunct w:val="0"/>
        <w:autoSpaceDE/>
        <w:autoSpaceDN/>
        <w:bidi w:val="0"/>
        <w:adjustRightInd w:val="0"/>
        <w:snapToGrid w:val="0"/>
        <w:spacing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规划编制的主要依据是：《中共中央关于制定国民经济和社会发展第十四个五年规划和二〇三五年远景目标的建议》、《中共天津市委关于制定天津市国民经济和社会发展第十四个五年规划和二〇三五年远景目标的建议》、《中共天津市东丽区委关于制定东丽区国民经济和社会发展第十四个五年规划和二〇三五年远景目标的建议》、《天津市东丽区国民经济和社会发展第十四个五年规划和二〇三五年远景目标纲要》、《天津市农业农村现代化“十四五”规划》等。本规划是指导东丽区“十四五”时期农业农村工作的行动纲领，明确“十四五”时期东丽区农业农村发展目标、主要任务和工程，突出近期实施、项目落地与保障机制，是 2020-2025 年全区农业农村发展的蓝图。</w:t>
      </w:r>
    </w:p>
    <w:p>
      <w:pPr>
        <w:pStyle w:val="3"/>
        <w:pageBreakBefore w:val="0"/>
        <w:kinsoku/>
        <w:wordWrap/>
        <w:overflowPunct/>
        <w:topLinePunct w:val="0"/>
        <w:autoSpaceDE/>
        <w:autoSpaceDN/>
        <w:bidi w:val="0"/>
        <w:spacing w:line="560" w:lineRule="exact"/>
        <w:ind w:left="0" w:firstLine="640" w:firstLineChars="200"/>
        <w:jc w:val="both"/>
        <w:textAlignment w:val="auto"/>
      </w:pPr>
      <w:bookmarkStart w:id="0" w:name="_Toc24292"/>
      <w:bookmarkStart w:id="1" w:name="_Toc23728"/>
      <w:bookmarkStart w:id="2" w:name="_Toc21488"/>
      <w:bookmarkStart w:id="3" w:name="_Toc70524100"/>
      <w:r>
        <w:rPr>
          <w:rFonts w:hint="eastAsia"/>
        </w:rPr>
        <w:t>一、坚持行稳致远，夯实农业农村发展基础</w:t>
      </w:r>
      <w:bookmarkEnd w:id="0"/>
      <w:bookmarkEnd w:id="1"/>
      <w:bookmarkEnd w:id="2"/>
      <w:bookmarkEnd w:id="3"/>
    </w:p>
    <w:p>
      <w:pPr>
        <w:pStyle w:val="4"/>
        <w:pageBreakBefore w:val="0"/>
        <w:kinsoku/>
        <w:wordWrap/>
        <w:overflowPunct/>
        <w:topLinePunct w:val="0"/>
        <w:autoSpaceDE/>
        <w:autoSpaceDN/>
        <w:bidi w:val="0"/>
        <w:spacing w:before="0" w:after="0" w:line="560" w:lineRule="exact"/>
        <w:ind w:left="0" w:firstLine="640" w:firstLineChars="200"/>
        <w:jc w:val="both"/>
        <w:textAlignment w:val="auto"/>
        <w:rPr>
          <w:rFonts w:ascii="楷体_GB2312" w:hAnsi="楷体_GB2312" w:eastAsia="楷体_GB2312" w:cs="楷体_GB2312"/>
          <w:b w:val="0"/>
          <w:bCs w:val="0"/>
          <w:sz w:val="32"/>
          <w:szCs w:val="32"/>
        </w:rPr>
      </w:pPr>
      <w:bookmarkStart w:id="4" w:name="_Toc22268"/>
      <w:bookmarkStart w:id="5" w:name="_Toc11715"/>
      <w:bookmarkStart w:id="6" w:name="_Toc31953"/>
      <w:bookmarkStart w:id="7" w:name="_Toc70524101"/>
      <w:r>
        <w:rPr>
          <w:rFonts w:hint="eastAsia" w:ascii="楷体_GB2312" w:hAnsi="楷体_GB2312" w:eastAsia="楷体_GB2312" w:cs="楷体_GB2312"/>
          <w:b w:val="0"/>
          <w:bCs w:val="0"/>
          <w:sz w:val="32"/>
          <w:szCs w:val="32"/>
          <w:lang w:eastAsia="zh-CN"/>
        </w:rPr>
        <w:t>（一）</w:t>
      </w:r>
      <w:r>
        <w:rPr>
          <w:rFonts w:hint="eastAsia" w:ascii="楷体_GB2312" w:hAnsi="楷体_GB2312" w:eastAsia="楷体_GB2312" w:cs="楷体_GB2312"/>
          <w:b w:val="0"/>
          <w:bCs w:val="0"/>
          <w:sz w:val="32"/>
          <w:szCs w:val="32"/>
        </w:rPr>
        <w:t>发展成效</w:t>
      </w:r>
      <w:bookmarkEnd w:id="4"/>
      <w:bookmarkEnd w:id="5"/>
      <w:bookmarkEnd w:id="6"/>
      <w:bookmarkEnd w:id="7"/>
    </w:p>
    <w:p>
      <w:pPr>
        <w:pageBreakBefore w:val="0"/>
        <w:kinsoku/>
        <w:wordWrap/>
        <w:overflowPunct/>
        <w:topLinePunct w:val="0"/>
        <w:autoSpaceDE/>
        <w:autoSpaceDN/>
        <w:bidi w:val="0"/>
        <w:adjustRightInd w:val="0"/>
        <w:snapToGrid w:val="0"/>
        <w:spacing w:line="560" w:lineRule="exact"/>
        <w:ind w:left="0" w:firstLine="640" w:firstLineChars="200"/>
        <w:jc w:val="both"/>
        <w:textAlignment w:val="auto"/>
        <w:rPr>
          <w:rFonts w:ascii="仿宋_GB2312" w:hAnsi="仿宋" w:eastAsia="仿宋_GB2312" w:cs="仿宋"/>
          <w:sz w:val="32"/>
          <w:szCs w:val="32"/>
        </w:rPr>
      </w:pPr>
      <w:bookmarkStart w:id="8" w:name="_Toc18798"/>
      <w:r>
        <w:rPr>
          <w:rFonts w:hint="eastAsia" w:ascii="仿宋_GB2312" w:hAnsi="仿宋" w:eastAsia="仿宋_GB2312" w:cs="仿宋"/>
          <w:sz w:val="32"/>
          <w:szCs w:val="32"/>
        </w:rPr>
        <w:t>2016年以来，东丽区立足区位优势和农业资源禀赋，不断深化农业供给侧结构性改革，推进优势特色产业集聚发展，多业态产业协同发展，已经形成“一轴（东丽区绿色生态屏障绿廊）、两翼（南北两大农业产业集聚区）、五区（五个生态宜居区）、多核点（两区五园六基地多主体）、多链条（以产业融合为基础的多条产业链）”的农业农村发展总体空间布局。农业农村经济发展全面稳定向好，2020年农林牧渔业总产值达到8.8亿元。</w:t>
      </w:r>
    </w:p>
    <w:p>
      <w:pPr>
        <w:pageBreakBefore w:val="0"/>
        <w:kinsoku/>
        <w:wordWrap/>
        <w:overflowPunct/>
        <w:topLinePunct w:val="0"/>
        <w:autoSpaceDE/>
        <w:autoSpaceDN/>
        <w:bidi w:val="0"/>
        <w:adjustRightInd w:val="0"/>
        <w:snapToGrid w:val="0"/>
        <w:spacing w:line="560" w:lineRule="exact"/>
        <w:ind w:left="0" w:firstLine="640" w:firstLineChars="200"/>
        <w:jc w:val="both"/>
        <w:textAlignment w:val="auto"/>
        <w:outlineLvl w:val="2"/>
        <w:rPr>
          <w:rFonts w:hint="eastAsia" w:ascii="楷体_GB2312" w:hAnsi="楷体_GB2312" w:eastAsia="楷体_GB2312" w:cs="楷体_GB2312"/>
          <w:b w:val="0"/>
          <w:bCs w:val="0"/>
          <w:kern w:val="2"/>
          <w:sz w:val="32"/>
          <w:szCs w:val="32"/>
          <w:lang w:val="en-US" w:eastAsia="zh-CN" w:bidi="ar-SA"/>
        </w:rPr>
      </w:pPr>
      <w:r>
        <w:rPr>
          <w:rFonts w:hint="eastAsia" w:ascii="楷体_GB2312" w:hAnsi="楷体_GB2312" w:eastAsia="楷体_GB2312" w:cs="楷体_GB2312"/>
          <w:b w:val="0"/>
          <w:bCs w:val="0"/>
          <w:kern w:val="2"/>
          <w:sz w:val="32"/>
          <w:szCs w:val="32"/>
          <w:lang w:val="en-US" w:eastAsia="zh-CN" w:bidi="ar-SA"/>
        </w:rPr>
        <w:t>（1）优势特色产业形成区域化布局，品牌建设不断推进</w:t>
      </w:r>
      <w:bookmarkEnd w:id="8"/>
    </w:p>
    <w:p>
      <w:pPr>
        <w:pageBreakBefore w:val="0"/>
        <w:kinsoku/>
        <w:wordWrap/>
        <w:overflowPunct/>
        <w:topLinePunct w:val="0"/>
        <w:autoSpaceDE/>
        <w:autoSpaceDN/>
        <w:bidi w:val="0"/>
        <w:adjustRightInd w:val="0"/>
        <w:snapToGrid w:val="0"/>
        <w:spacing w:line="560" w:lineRule="exact"/>
        <w:ind w:left="0" w:firstLine="616" w:firstLineChars="200"/>
        <w:jc w:val="both"/>
        <w:textAlignment w:val="auto"/>
        <w:rPr>
          <w:rFonts w:ascii="仿宋_GB2312" w:hAnsi="仿宋" w:eastAsia="仿宋_GB2312" w:cs="仿宋"/>
          <w:sz w:val="32"/>
          <w:szCs w:val="32"/>
        </w:rPr>
      </w:pPr>
      <w:r>
        <w:rPr>
          <w:rFonts w:hint="eastAsia" w:ascii="仿宋_GB2312" w:hAnsi="仿宋" w:eastAsia="仿宋_GB2312" w:cs="仿宋"/>
          <w:spacing w:val="-6"/>
          <w:sz w:val="32"/>
          <w:szCs w:val="32"/>
        </w:rPr>
        <w:t>深入推进农业供给侧结构性改革，实施“稳定粮食生产、发展生态农业、控制养殖业”的产业调整思路，产业结构进一步优化，花卉、果蔬、休闲农业、水产养殖加工业、水稻种植业等优势特色产业已成为支柱。随着绿色生态屏障建设的高位推进，海河绿芯局部区域已形成成林、片林的生态格局，林业产业继续保持高速增长，东丽湖富氧区呈现出“大水、大林、大绿”的生态景色，华明、军粮城区域的稻蟹混养、特色采摘等生态农业呈现勃勃生机。同时优势特色产业逐步形成了区域化布局、集约化经营、标准化生产、品牌化运作的格局，两园五区六基地的产业布局逐渐成熟，高效设施农业保持稳步发展态势。全区无公害农产品产地认证面积2.19万亩、无公害基地12个、认证品种96个，认定中国驰名商标2件、天津市著名商标6件、天津市名牌产品2个。</w:t>
      </w:r>
    </w:p>
    <w:p>
      <w:pPr>
        <w:pageBreakBefore w:val="0"/>
        <w:kinsoku/>
        <w:wordWrap/>
        <w:overflowPunct/>
        <w:topLinePunct w:val="0"/>
        <w:autoSpaceDE/>
        <w:autoSpaceDN/>
        <w:bidi w:val="0"/>
        <w:adjustRightInd w:val="0"/>
        <w:snapToGrid w:val="0"/>
        <w:spacing w:line="560" w:lineRule="exact"/>
        <w:ind w:left="0" w:firstLine="640" w:firstLineChars="200"/>
        <w:jc w:val="both"/>
        <w:textAlignment w:val="auto"/>
        <w:outlineLvl w:val="2"/>
        <w:rPr>
          <w:rFonts w:hint="eastAsia" w:ascii="楷体_GB2312" w:hAnsi="楷体_GB2312" w:eastAsia="楷体_GB2312" w:cs="楷体_GB2312"/>
          <w:bCs/>
          <w:sz w:val="32"/>
          <w:szCs w:val="32"/>
        </w:rPr>
      </w:pPr>
      <w:bookmarkStart w:id="9" w:name="_Toc26993"/>
      <w:r>
        <w:rPr>
          <w:rFonts w:hint="eastAsia" w:ascii="楷体_GB2312" w:hAnsi="楷体_GB2312" w:eastAsia="楷体_GB2312" w:cs="楷体_GB2312"/>
          <w:bCs/>
          <w:sz w:val="32"/>
          <w:szCs w:val="32"/>
        </w:rPr>
        <w:t>（2）新型农业经营主体成为主导力量，产业集聚趋势凸显</w:t>
      </w:r>
      <w:bookmarkEnd w:id="9"/>
    </w:p>
    <w:p>
      <w:pPr>
        <w:pageBreakBefore w:val="0"/>
        <w:kinsoku/>
        <w:wordWrap/>
        <w:overflowPunct/>
        <w:topLinePunct w:val="0"/>
        <w:autoSpaceDE/>
        <w:autoSpaceDN/>
        <w:bidi w:val="0"/>
        <w:adjustRightInd w:val="0"/>
        <w:snapToGrid w:val="0"/>
        <w:spacing w:line="560" w:lineRule="exact"/>
        <w:ind w:left="0" w:firstLine="640" w:firstLineChars="200"/>
        <w:jc w:val="both"/>
        <w:textAlignment w:val="auto"/>
        <w:rPr>
          <w:rFonts w:ascii="仿宋_GB2312" w:hAnsi="仿宋" w:eastAsia="仿宋_GB2312" w:cs="仿宋"/>
          <w:sz w:val="32"/>
          <w:szCs w:val="32"/>
        </w:rPr>
      </w:pPr>
      <w:r>
        <w:rPr>
          <w:rFonts w:hint="eastAsia" w:ascii="仿宋_GB2312" w:hAnsi="仿宋" w:eastAsia="仿宋_GB2312" w:cs="仿宋"/>
          <w:color w:val="000000"/>
          <w:sz w:val="32"/>
          <w:szCs w:val="32"/>
        </w:rPr>
        <w:t>新型农业经营主体逐步</w:t>
      </w:r>
      <w:r>
        <w:rPr>
          <w:rFonts w:hint="eastAsia" w:ascii="仿宋_GB2312" w:hAnsi="仿宋" w:eastAsia="仿宋_GB2312" w:cs="仿宋"/>
          <w:sz w:val="32"/>
          <w:szCs w:val="32"/>
        </w:rPr>
        <w:t>向内涵式高质量发展转型。全区现有农业产业化企业8家，其中2家国家级龙头企业。农民专业合作社85家，其中国家级合作社2家，市级示范合作社4家，带动农户4万余户，联结基地3万余亩。纳入家庭农场名录系统133家。天津滨海无瑕农业生态园、天津东信国际花卉科技园区、天津滨海宽达生态农业科技园区、天津滨海傲绿农业科技园区等一批特色农业产业园区集群效应强劲，辐射效应凸显，基本形成了三产深度互动、融合发展的新格局。天津滨海宽达生态农业科技园，建立了以科技为先导、以打造水产品全产业链为目标，以大宗淡水鱼养殖示范、科普教育以及精深加工食品为特色的三产融合发展路径。天津滨海傲绿农业科技园区，依托多元产业体系，成功实现了现代农业科技集成示范、绿色农产品生产示范、农业创意休闲等多功能的复合，推进了产业的融合。休闲农业快速发展，欢坨西红柿、胡张庄葡萄、华明草莓等特色农产品影响力持续扩大，蔬果采摘、托管认养、休闲旅游成为新的产业增长点。</w:t>
      </w:r>
    </w:p>
    <w:p>
      <w:pPr>
        <w:pageBreakBefore w:val="0"/>
        <w:kinsoku/>
        <w:wordWrap/>
        <w:overflowPunct/>
        <w:topLinePunct w:val="0"/>
        <w:autoSpaceDE/>
        <w:autoSpaceDN/>
        <w:bidi w:val="0"/>
        <w:adjustRightInd w:val="0"/>
        <w:snapToGrid w:val="0"/>
        <w:spacing w:line="560" w:lineRule="exact"/>
        <w:ind w:left="0" w:firstLine="640" w:firstLineChars="200"/>
        <w:jc w:val="both"/>
        <w:textAlignment w:val="auto"/>
        <w:outlineLvl w:val="2"/>
        <w:rPr>
          <w:rFonts w:hint="eastAsia" w:ascii="楷体_GB2312" w:hAnsi="楷体_GB2312" w:eastAsia="楷体_GB2312" w:cs="楷体_GB2312"/>
          <w:bCs/>
          <w:sz w:val="32"/>
          <w:szCs w:val="32"/>
        </w:rPr>
      </w:pPr>
      <w:bookmarkStart w:id="10" w:name="_Toc5214"/>
      <w:r>
        <w:rPr>
          <w:rFonts w:hint="eastAsia" w:ascii="楷体_GB2312" w:hAnsi="楷体_GB2312" w:eastAsia="楷体_GB2312" w:cs="楷体_GB2312"/>
          <w:bCs/>
          <w:sz w:val="32"/>
          <w:szCs w:val="32"/>
        </w:rPr>
        <w:t>（3）农业农村各项改革不断深化，集体经济稳步增长</w:t>
      </w:r>
      <w:bookmarkEnd w:id="10"/>
    </w:p>
    <w:p>
      <w:pPr>
        <w:pageBreakBefore w:val="0"/>
        <w:kinsoku/>
        <w:wordWrap/>
        <w:overflowPunct/>
        <w:topLinePunct w:val="0"/>
        <w:autoSpaceDE/>
        <w:autoSpaceDN/>
        <w:bidi w:val="0"/>
        <w:adjustRightInd w:val="0"/>
        <w:snapToGrid w:val="0"/>
        <w:spacing w:line="560" w:lineRule="exact"/>
        <w:ind w:left="0" w:firstLine="640" w:firstLineChars="200"/>
        <w:jc w:val="both"/>
        <w:textAlignment w:val="auto"/>
        <w:rPr>
          <w:rFonts w:ascii="仿宋_GB2312" w:hAnsi="仿宋" w:eastAsia="仿宋_GB2312" w:cs="仿宋"/>
          <w:sz w:val="32"/>
          <w:szCs w:val="32"/>
        </w:rPr>
      </w:pPr>
      <w:r>
        <w:rPr>
          <w:rFonts w:hint="eastAsia" w:ascii="仿宋_GB2312" w:hAnsi="仿宋" w:eastAsia="仿宋_GB2312" w:cs="仿宋"/>
          <w:sz w:val="32"/>
          <w:szCs w:val="32"/>
        </w:rPr>
        <w:t>完善农村承包地“三权分置”制度，加强农村产权流转交易市场建设，大幅提升了土地经营权流转和规模化经营水平。截至2020年底，共71个村完成农村产权制度改革目标任务，登记赋码，成立了69个股份经济合作社，2个经济合作社。通过集体产权制度改革，进一步规范了村集体经济行为，完善了集体资产管理中的登记、保管、使用、处置等各项制度，规范了街道对村级财务委托代理服务和监督行为，推动村集体“三资”管理规范化建设再上新台阶。依托天津农村产权交易中心股权托管交易平台，将改制后的股份经济合作社全部成员股权纳入天津农村产权流转交易市场托管，形成股权托管、流转交易、有偿退出机制，规范交易流程，保护了成员利益。同时根据各村资源禀赋，积极引导和扶持，积极探索发展壮大村集体经济新途径和新模式。2019年末，全区71个村及所属76家企业资产总额124.28亿元，其中经营性资产达71.34亿元，非经营性资产52.94亿元。</w:t>
      </w:r>
    </w:p>
    <w:p>
      <w:pPr>
        <w:pageBreakBefore w:val="0"/>
        <w:kinsoku/>
        <w:wordWrap/>
        <w:overflowPunct/>
        <w:topLinePunct w:val="0"/>
        <w:autoSpaceDE/>
        <w:autoSpaceDN/>
        <w:bidi w:val="0"/>
        <w:adjustRightInd w:val="0"/>
        <w:snapToGrid w:val="0"/>
        <w:spacing w:line="560" w:lineRule="exact"/>
        <w:ind w:left="0" w:firstLine="640" w:firstLineChars="200"/>
        <w:jc w:val="both"/>
        <w:textAlignment w:val="auto"/>
        <w:outlineLvl w:val="2"/>
        <w:rPr>
          <w:rFonts w:hint="eastAsia" w:ascii="楷体_GB2312" w:hAnsi="楷体_GB2312" w:eastAsia="楷体_GB2312" w:cs="楷体_GB2312"/>
          <w:bCs/>
          <w:sz w:val="32"/>
          <w:szCs w:val="32"/>
        </w:rPr>
      </w:pPr>
      <w:bookmarkStart w:id="11" w:name="_Toc29459"/>
      <w:r>
        <w:rPr>
          <w:rFonts w:hint="eastAsia" w:ascii="楷体_GB2312" w:hAnsi="楷体_GB2312" w:eastAsia="楷体_GB2312" w:cs="楷体_GB2312"/>
          <w:bCs/>
          <w:sz w:val="32"/>
          <w:szCs w:val="32"/>
        </w:rPr>
        <w:t>（4）环境治理力度不断加大，人居环境持续改善</w:t>
      </w:r>
      <w:bookmarkEnd w:id="11"/>
    </w:p>
    <w:p>
      <w:pPr>
        <w:pageBreakBefore w:val="0"/>
        <w:kinsoku/>
        <w:wordWrap/>
        <w:overflowPunct/>
        <w:topLinePunct w:val="0"/>
        <w:autoSpaceDE/>
        <w:autoSpaceDN/>
        <w:bidi w:val="0"/>
        <w:adjustRightInd w:val="0"/>
        <w:snapToGrid w:val="0"/>
        <w:spacing w:line="560" w:lineRule="exact"/>
        <w:ind w:left="0" w:firstLine="640" w:firstLineChars="200"/>
        <w:jc w:val="both"/>
        <w:textAlignment w:val="auto"/>
        <w:rPr>
          <w:rFonts w:ascii="仿宋_GB2312" w:hAnsi="仿宋" w:eastAsia="仿宋_GB2312" w:cs="仿宋"/>
          <w:sz w:val="32"/>
          <w:szCs w:val="32"/>
        </w:rPr>
      </w:pPr>
      <w:r>
        <w:rPr>
          <w:rFonts w:hint="eastAsia" w:ascii="仿宋_GB2312" w:hAnsi="仿宋" w:eastAsia="仿宋_GB2312" w:cs="仿宋"/>
          <w:sz w:val="32"/>
          <w:szCs w:val="32"/>
        </w:rPr>
        <w:t>深入开展大气污染综合防治，关停取缔“散乱污”企业2000余家，提升改造100余家，在全市率先完成3万余户散煤治理任务。实施水环境综合治理，集中清整疏浚河道沟渠162公里，完成6条二级河道黑臭水体治理，完成3座污水处理厂提标改造工程，全面推行河长制管理。实施农药化肥零增长行动，开展耕地土壤污染修复示范，加强农田残膜回收利用，秸秆综合利用率提高到了97%。不断推进绿色生态屏障建设，完成绿化造林1.92万亩。推进环卫基础设施建设，开展城乡环境卫生综合治理。加快推进老村台滞留户拆迁工作，各街道及集体经济组织围绕“街域、村庄、园田、农户”四大综合体，开展“五边洁净”行动，全面清理整治路边、河边、田边、村边、屋边垃圾及卫生死角。完成76座卫生公厕改造任务，切实做到长效管护。</w:t>
      </w:r>
    </w:p>
    <w:p>
      <w:pPr>
        <w:pageBreakBefore w:val="0"/>
        <w:kinsoku/>
        <w:wordWrap/>
        <w:overflowPunct/>
        <w:topLinePunct w:val="0"/>
        <w:autoSpaceDE/>
        <w:autoSpaceDN/>
        <w:bidi w:val="0"/>
        <w:adjustRightInd w:val="0"/>
        <w:snapToGrid w:val="0"/>
        <w:spacing w:line="560" w:lineRule="exact"/>
        <w:ind w:left="0" w:firstLine="640" w:firstLineChars="200"/>
        <w:jc w:val="both"/>
        <w:textAlignment w:val="auto"/>
        <w:outlineLvl w:val="2"/>
        <w:rPr>
          <w:rFonts w:hint="eastAsia" w:ascii="楷体_GB2312" w:hAnsi="楷体_GB2312" w:eastAsia="楷体_GB2312" w:cs="楷体_GB2312"/>
          <w:bCs/>
          <w:sz w:val="32"/>
          <w:szCs w:val="32"/>
        </w:rPr>
      </w:pPr>
      <w:bookmarkStart w:id="12" w:name="_Toc22478"/>
      <w:r>
        <w:rPr>
          <w:rFonts w:hint="eastAsia" w:ascii="楷体_GB2312" w:hAnsi="楷体_GB2312" w:eastAsia="楷体_GB2312" w:cs="楷体_GB2312"/>
          <w:bCs/>
          <w:sz w:val="32"/>
          <w:szCs w:val="32"/>
        </w:rPr>
        <w:t>（5）民生事业在扩面提质中加快发展，社会治理成效显著</w:t>
      </w:r>
      <w:bookmarkEnd w:id="12"/>
    </w:p>
    <w:p>
      <w:pPr>
        <w:pageBreakBefore w:val="0"/>
        <w:kinsoku/>
        <w:wordWrap/>
        <w:overflowPunct/>
        <w:topLinePunct w:val="0"/>
        <w:autoSpaceDE/>
        <w:autoSpaceDN/>
        <w:bidi w:val="0"/>
        <w:adjustRightInd w:val="0"/>
        <w:snapToGrid w:val="0"/>
        <w:spacing w:line="560" w:lineRule="exact"/>
        <w:ind w:left="0" w:firstLine="640" w:firstLineChars="200"/>
        <w:jc w:val="both"/>
        <w:textAlignment w:val="auto"/>
        <w:rPr>
          <w:rFonts w:ascii="仿宋_GB2312" w:hAnsi="仿宋" w:eastAsia="仿宋_GB2312" w:cs="仿宋"/>
          <w:b/>
          <w:bCs/>
          <w:sz w:val="32"/>
          <w:szCs w:val="32"/>
        </w:rPr>
      </w:pPr>
      <w:r>
        <w:rPr>
          <w:rFonts w:hint="eastAsia" w:ascii="仿宋_GB2312" w:hAnsi="仿宋" w:eastAsia="仿宋_GB2312" w:cs="仿宋"/>
          <w:sz w:val="32"/>
          <w:szCs w:val="32"/>
        </w:rPr>
        <w:t>社会保障方面，形成保障、救助、优抚三大类96项社会救助体系，保障范围不断扩大，保障救助水平全市领先。机构养老和居家养老协调推进，新建并引入社会化组织运营金桥养老中心、溪水湾社区老年日间照料中心，老人家食堂实现社区全覆盖。强化就业创业服务，开展职业技能提升行动，加大就业困难群体帮扶力度。卫生事业稳步推进，聚焦“一老一小一急一投诉”，完成乡医一体化管理部署，推进“互联网+医疗健康”。建立区、街道、社区三级社会治理综合平台，用信息化手段支撑城市管理、网格运行、群众诉求事项办理，全面提高基层治理精细化精准化水平。推进社会治安防控“六张网”建设，构建现代化、信息化社会治安防控体系，加快“雪亮”工程建设。推进文明城区创建工作中，东丽区荣获2017年首届天津市文明城区称号，获得全国文明城区提名城区，9个单位被评为全国文明单位，于明庄村被评为全国文明村。</w:t>
      </w:r>
    </w:p>
    <w:p>
      <w:pPr>
        <w:pStyle w:val="4"/>
        <w:pageBreakBefore w:val="0"/>
        <w:kinsoku/>
        <w:wordWrap/>
        <w:overflowPunct/>
        <w:topLinePunct w:val="0"/>
        <w:autoSpaceDE/>
        <w:autoSpaceDN/>
        <w:bidi w:val="0"/>
        <w:spacing w:before="0" w:after="0" w:line="560" w:lineRule="exact"/>
        <w:ind w:left="0" w:firstLine="640" w:firstLineChars="200"/>
        <w:jc w:val="both"/>
        <w:textAlignment w:val="auto"/>
        <w:rPr>
          <w:rFonts w:ascii="楷体_GB2312" w:hAnsi="楷体_GB2312" w:eastAsia="楷体_GB2312" w:cs="楷体_GB2312"/>
          <w:b w:val="0"/>
          <w:bCs w:val="0"/>
          <w:sz w:val="32"/>
          <w:szCs w:val="32"/>
        </w:rPr>
      </w:pPr>
      <w:bookmarkStart w:id="13" w:name="_Toc26192"/>
      <w:bookmarkStart w:id="14" w:name="_Toc70524102"/>
      <w:bookmarkStart w:id="15" w:name="_Toc4610"/>
      <w:bookmarkStart w:id="16" w:name="_Toc30081"/>
      <w:r>
        <w:rPr>
          <w:rFonts w:hint="eastAsia" w:ascii="楷体_GB2312" w:hAnsi="楷体_GB2312" w:eastAsia="楷体_GB2312" w:cs="楷体_GB2312"/>
          <w:b w:val="0"/>
          <w:bCs w:val="0"/>
          <w:sz w:val="32"/>
          <w:szCs w:val="32"/>
          <w:lang w:eastAsia="zh-CN"/>
        </w:rPr>
        <w:t>（二）</w:t>
      </w:r>
      <w:r>
        <w:rPr>
          <w:rFonts w:hint="eastAsia" w:ascii="楷体_GB2312" w:hAnsi="楷体_GB2312" w:eastAsia="楷体_GB2312" w:cs="楷体_GB2312"/>
          <w:b w:val="0"/>
          <w:bCs w:val="0"/>
          <w:sz w:val="32"/>
          <w:szCs w:val="32"/>
        </w:rPr>
        <w:t>发展瓶颈</w:t>
      </w:r>
      <w:bookmarkEnd w:id="13"/>
      <w:bookmarkEnd w:id="14"/>
      <w:bookmarkEnd w:id="15"/>
      <w:bookmarkEnd w:id="16"/>
    </w:p>
    <w:p>
      <w:pPr>
        <w:pageBreakBefore w:val="0"/>
        <w:kinsoku/>
        <w:wordWrap/>
        <w:overflowPunct/>
        <w:topLinePunct w:val="0"/>
        <w:autoSpaceDE/>
        <w:autoSpaceDN/>
        <w:bidi w:val="0"/>
        <w:adjustRightInd w:val="0"/>
        <w:snapToGrid w:val="0"/>
        <w:spacing w:line="560" w:lineRule="exact"/>
        <w:ind w:left="0" w:firstLine="640" w:firstLineChars="200"/>
        <w:jc w:val="both"/>
        <w:textAlignment w:val="auto"/>
        <w:outlineLvl w:val="2"/>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（1）高质量农业发展缓慢，现代产业体系有待完善</w:t>
      </w:r>
    </w:p>
    <w:p>
      <w:pPr>
        <w:pageBreakBefore w:val="0"/>
        <w:kinsoku/>
        <w:wordWrap/>
        <w:overflowPunct/>
        <w:topLinePunct w:val="0"/>
        <w:autoSpaceDE/>
        <w:autoSpaceDN/>
        <w:bidi w:val="0"/>
        <w:adjustRightInd w:val="0"/>
        <w:snapToGrid w:val="0"/>
        <w:spacing w:line="560" w:lineRule="exact"/>
        <w:ind w:left="0" w:firstLine="640" w:firstLineChars="200"/>
        <w:jc w:val="both"/>
        <w:textAlignment w:val="auto"/>
        <w:rPr>
          <w:rFonts w:ascii="仿宋_GB2312" w:hAnsi="仿宋" w:eastAsia="仿宋_GB2312" w:cs="仿宋"/>
          <w:sz w:val="32"/>
          <w:szCs w:val="32"/>
        </w:rPr>
      </w:pPr>
      <w:r>
        <w:rPr>
          <w:rFonts w:hint="eastAsia" w:ascii="仿宋_GB2312" w:hAnsi="仿宋" w:eastAsia="仿宋_GB2312" w:cs="仿宋"/>
          <w:sz w:val="32"/>
          <w:szCs w:val="32"/>
        </w:rPr>
        <w:t>东丽区尚未形成现代化的农业产业体系、生产体系和经营体系，农业竞争力和综合效益均有待提升。农业品牌建设滞后，农产品附加值不高。科技引领作用弱，缺乏高端绿色精品农产品。新型农业经营主体和服务主体仍存在发展不充分、实力不强等问题。农业产业链各环节之间的联通性不强，产业链条较短，三产融合提升空间大。</w:t>
      </w:r>
    </w:p>
    <w:p>
      <w:pPr>
        <w:pageBreakBefore w:val="0"/>
        <w:kinsoku/>
        <w:wordWrap/>
        <w:overflowPunct/>
        <w:topLinePunct w:val="0"/>
        <w:autoSpaceDE/>
        <w:autoSpaceDN/>
        <w:bidi w:val="0"/>
        <w:adjustRightInd w:val="0"/>
        <w:snapToGrid w:val="0"/>
        <w:spacing w:line="560" w:lineRule="exact"/>
        <w:ind w:left="0" w:firstLine="640" w:firstLineChars="200"/>
        <w:jc w:val="both"/>
        <w:textAlignment w:val="auto"/>
        <w:outlineLvl w:val="2"/>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（2）集体经济实现形式单一，制度创新有待突破</w:t>
      </w:r>
    </w:p>
    <w:p>
      <w:pPr>
        <w:pageBreakBefore w:val="0"/>
        <w:kinsoku/>
        <w:wordWrap/>
        <w:overflowPunct/>
        <w:topLinePunct w:val="0"/>
        <w:autoSpaceDE/>
        <w:autoSpaceDN/>
        <w:bidi w:val="0"/>
        <w:adjustRightInd w:val="0"/>
        <w:snapToGrid w:val="0"/>
        <w:spacing w:line="560" w:lineRule="exact"/>
        <w:ind w:left="0" w:firstLine="640" w:firstLineChars="200"/>
        <w:jc w:val="both"/>
        <w:textAlignment w:val="auto"/>
        <w:rPr>
          <w:rFonts w:ascii="仿宋_GB2312" w:hAnsi="仿宋" w:eastAsia="仿宋_GB2312" w:cs="仿宋"/>
          <w:sz w:val="32"/>
          <w:szCs w:val="32"/>
        </w:rPr>
      </w:pPr>
      <w:r>
        <w:rPr>
          <w:rFonts w:hint="eastAsia" w:ascii="仿宋_GB2312" w:hAnsi="仿宋" w:eastAsia="仿宋_GB2312" w:cs="仿宋"/>
          <w:sz w:val="32"/>
          <w:szCs w:val="32"/>
        </w:rPr>
        <w:t>集体经济组织适应市场经济发展的能力偏弱，乡村振兴意识不强，经营理念僵化，经营模式单一，多以租赁等低端形式为主，资源禀赋未得到充分利用，发展后劲不足，带动村民增收致富的能力不强。股权管理、股权运作等方面缺乏有效的制度创新，集体经济缺乏长效的投资增长机制。</w:t>
      </w:r>
    </w:p>
    <w:p>
      <w:pPr>
        <w:pageBreakBefore w:val="0"/>
        <w:kinsoku/>
        <w:wordWrap/>
        <w:overflowPunct/>
        <w:topLinePunct w:val="0"/>
        <w:autoSpaceDE/>
        <w:autoSpaceDN/>
        <w:bidi w:val="0"/>
        <w:adjustRightInd w:val="0"/>
        <w:snapToGrid w:val="0"/>
        <w:spacing w:line="560" w:lineRule="exact"/>
        <w:ind w:left="0" w:firstLine="640" w:firstLineChars="200"/>
        <w:jc w:val="both"/>
        <w:textAlignment w:val="auto"/>
        <w:outlineLvl w:val="2"/>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（3）公共基础设施尚需完善，公共服务水平有待提升</w:t>
      </w:r>
    </w:p>
    <w:p>
      <w:pPr>
        <w:pageBreakBefore w:val="0"/>
        <w:kinsoku/>
        <w:wordWrap/>
        <w:overflowPunct/>
        <w:topLinePunct w:val="0"/>
        <w:autoSpaceDE/>
        <w:autoSpaceDN/>
        <w:bidi w:val="0"/>
        <w:adjustRightInd w:val="0"/>
        <w:snapToGrid w:val="0"/>
        <w:spacing w:line="560" w:lineRule="exact"/>
        <w:ind w:left="0" w:firstLine="640" w:firstLineChars="200"/>
        <w:jc w:val="both"/>
        <w:textAlignment w:val="auto"/>
        <w:rPr>
          <w:rFonts w:ascii="仿宋_GB2312" w:hAnsi="仿宋" w:eastAsia="仿宋_GB2312" w:cs="仿宋"/>
          <w:sz w:val="32"/>
          <w:szCs w:val="32"/>
        </w:rPr>
      </w:pPr>
      <w:r>
        <w:rPr>
          <w:rFonts w:hint="eastAsia" w:ascii="仿宋_GB2312" w:hAnsi="仿宋" w:eastAsia="仿宋_GB2312" w:cs="仿宋"/>
          <w:sz w:val="32"/>
          <w:szCs w:val="32"/>
        </w:rPr>
        <w:t>对标深度城镇化要求，“社区之表、农村之实”问题依然存在。新市镇的基础设施、物业服务和管理机制等方面还有待优化，拆迁区域脏乱差问题还不同程度地存在。多元主体积极参与、平等竞争的基本公共服务供给格局尚未形成，公共服务供给能力有待进一步提升。新市民增收难和就业安置问题还在一定程度存在。</w:t>
      </w:r>
    </w:p>
    <w:p>
      <w:pPr>
        <w:pageBreakBefore w:val="0"/>
        <w:kinsoku/>
        <w:wordWrap/>
        <w:overflowPunct/>
        <w:topLinePunct w:val="0"/>
        <w:autoSpaceDE/>
        <w:autoSpaceDN/>
        <w:bidi w:val="0"/>
        <w:adjustRightInd w:val="0"/>
        <w:snapToGrid w:val="0"/>
        <w:spacing w:line="560" w:lineRule="exact"/>
        <w:ind w:left="0" w:firstLine="640" w:firstLineChars="200"/>
        <w:jc w:val="both"/>
        <w:textAlignment w:val="auto"/>
        <w:outlineLvl w:val="2"/>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（4）乡风文明建设有待加强，社会治理体系仍需创新</w:t>
      </w:r>
    </w:p>
    <w:p>
      <w:pPr>
        <w:pageBreakBefore w:val="0"/>
        <w:kinsoku/>
        <w:wordWrap/>
        <w:overflowPunct/>
        <w:topLinePunct w:val="0"/>
        <w:autoSpaceDE/>
        <w:autoSpaceDN/>
        <w:bidi w:val="0"/>
        <w:adjustRightInd w:val="0"/>
        <w:snapToGrid w:val="0"/>
        <w:spacing w:line="560" w:lineRule="exact"/>
        <w:ind w:left="0" w:firstLine="616" w:firstLineChars="200"/>
        <w:jc w:val="both"/>
        <w:textAlignment w:val="auto"/>
        <w:rPr>
          <w:rFonts w:ascii="仿宋_GB2312" w:hAnsi="仿宋" w:eastAsia="仿宋_GB2312" w:cs="仿宋"/>
          <w:sz w:val="32"/>
          <w:szCs w:val="32"/>
        </w:rPr>
      </w:pPr>
      <w:r>
        <w:rPr>
          <w:rFonts w:hint="eastAsia" w:ascii="仿宋_GB2312" w:hAnsi="仿宋" w:eastAsia="仿宋_GB2312" w:cs="仿宋"/>
          <w:spacing w:val="-6"/>
          <w:sz w:val="32"/>
          <w:szCs w:val="32"/>
        </w:rPr>
        <w:t>还迁居民的“城市居民”的身份认同感较弱，文明程度、人的文化素养等方面需要不断提高。社会治理中仍存在更多公共资源、审批事项、管理权限和民生服务未真正下放到基层等问题，大数据的应用和社会治理创新也有待深度融合，基层治理效率需进一步提高，共建共治共享的基层社会治理体系需要不断创新和完善。</w:t>
      </w:r>
    </w:p>
    <w:p>
      <w:pPr>
        <w:pStyle w:val="3"/>
        <w:pageBreakBefore w:val="0"/>
        <w:kinsoku/>
        <w:wordWrap/>
        <w:overflowPunct/>
        <w:topLinePunct w:val="0"/>
        <w:autoSpaceDE/>
        <w:autoSpaceDN/>
        <w:bidi w:val="0"/>
        <w:spacing w:line="560" w:lineRule="exact"/>
        <w:ind w:left="0" w:firstLine="640" w:firstLineChars="200"/>
        <w:jc w:val="both"/>
        <w:textAlignment w:val="auto"/>
      </w:pPr>
      <w:bookmarkStart w:id="17" w:name="_Toc30682"/>
      <w:bookmarkStart w:id="18" w:name="_Toc70524103"/>
      <w:bookmarkStart w:id="19" w:name="_Toc32743"/>
      <w:bookmarkStart w:id="20" w:name="_Toc4523"/>
      <w:bookmarkStart w:id="21" w:name="_Hlk59349518"/>
      <w:r>
        <w:rPr>
          <w:rFonts w:hint="eastAsia"/>
        </w:rPr>
        <w:t>二、科学研判时势，辩证把握发展机遇</w:t>
      </w:r>
      <w:bookmarkEnd w:id="17"/>
      <w:r>
        <w:rPr>
          <w:rFonts w:hint="eastAsia"/>
        </w:rPr>
        <w:t>和面临挑战</w:t>
      </w:r>
      <w:bookmarkEnd w:id="18"/>
      <w:bookmarkEnd w:id="19"/>
      <w:bookmarkEnd w:id="20"/>
    </w:p>
    <w:p>
      <w:pPr>
        <w:pStyle w:val="4"/>
        <w:pageBreakBefore w:val="0"/>
        <w:kinsoku/>
        <w:wordWrap/>
        <w:overflowPunct/>
        <w:topLinePunct w:val="0"/>
        <w:autoSpaceDE/>
        <w:autoSpaceDN/>
        <w:bidi w:val="0"/>
        <w:spacing w:before="0" w:after="0" w:line="560" w:lineRule="exact"/>
        <w:ind w:left="0" w:firstLine="640" w:firstLineChars="200"/>
        <w:jc w:val="both"/>
        <w:textAlignment w:val="auto"/>
        <w:rPr>
          <w:rFonts w:ascii="楷体_GB2312" w:hAnsi="楷体_GB2312" w:eastAsia="楷体_GB2312" w:cs="楷体_GB2312"/>
          <w:b w:val="0"/>
          <w:bCs w:val="0"/>
          <w:sz w:val="32"/>
          <w:szCs w:val="32"/>
        </w:rPr>
      </w:pPr>
      <w:bookmarkStart w:id="22" w:name="_Toc20892"/>
      <w:bookmarkStart w:id="23" w:name="_Toc13868"/>
      <w:bookmarkStart w:id="24" w:name="_Toc22269"/>
      <w:bookmarkStart w:id="25" w:name="_Toc70524104"/>
      <w:r>
        <w:rPr>
          <w:rFonts w:hint="eastAsia" w:ascii="楷体_GB2312" w:hAnsi="楷体_GB2312" w:eastAsia="楷体_GB2312" w:cs="楷体_GB2312"/>
          <w:b w:val="0"/>
          <w:bCs w:val="0"/>
          <w:sz w:val="32"/>
          <w:szCs w:val="32"/>
          <w:lang w:eastAsia="zh-CN"/>
        </w:rPr>
        <w:t>（一）</w:t>
      </w:r>
      <w:r>
        <w:rPr>
          <w:rFonts w:hint="eastAsia" w:ascii="楷体_GB2312" w:hAnsi="楷体_GB2312" w:eastAsia="楷体_GB2312" w:cs="楷体_GB2312"/>
          <w:b w:val="0"/>
          <w:bCs w:val="0"/>
          <w:sz w:val="32"/>
          <w:szCs w:val="32"/>
        </w:rPr>
        <w:t>发展机遇</w:t>
      </w:r>
      <w:bookmarkEnd w:id="22"/>
      <w:bookmarkEnd w:id="23"/>
      <w:bookmarkEnd w:id="24"/>
      <w:bookmarkEnd w:id="25"/>
    </w:p>
    <w:p>
      <w:pPr>
        <w:pageBreakBefore w:val="0"/>
        <w:kinsoku/>
        <w:wordWrap/>
        <w:overflowPunct/>
        <w:topLinePunct w:val="0"/>
        <w:autoSpaceDE/>
        <w:autoSpaceDN/>
        <w:bidi w:val="0"/>
        <w:adjustRightInd w:val="0"/>
        <w:snapToGrid w:val="0"/>
        <w:spacing w:line="560" w:lineRule="exact"/>
        <w:ind w:left="0" w:firstLine="640" w:firstLineChars="200"/>
        <w:jc w:val="both"/>
        <w:textAlignment w:val="auto"/>
        <w:outlineLvl w:val="2"/>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（1）把握好乡村振兴战略全面实施机遇</w:t>
      </w:r>
    </w:p>
    <w:p>
      <w:pPr>
        <w:pageBreakBefore w:val="0"/>
        <w:kinsoku/>
        <w:wordWrap/>
        <w:overflowPunct/>
        <w:topLinePunct w:val="0"/>
        <w:autoSpaceDE/>
        <w:autoSpaceDN/>
        <w:bidi w:val="0"/>
        <w:adjustRightInd w:val="0"/>
        <w:snapToGrid w:val="0"/>
        <w:spacing w:line="560" w:lineRule="exact"/>
        <w:ind w:left="0" w:firstLine="640" w:firstLineChars="200"/>
        <w:jc w:val="both"/>
        <w:textAlignment w:val="auto"/>
        <w:rPr>
          <w:rFonts w:ascii="仿宋_GB2312" w:hAnsi="仿宋" w:eastAsia="仿宋_GB2312" w:cs="仿宋"/>
          <w:sz w:val="32"/>
          <w:szCs w:val="32"/>
        </w:rPr>
      </w:pPr>
      <w:r>
        <w:rPr>
          <w:rFonts w:hint="eastAsia" w:ascii="仿宋_GB2312" w:hAnsi="仿宋" w:eastAsia="仿宋_GB2312" w:cs="仿宋"/>
          <w:sz w:val="32"/>
          <w:szCs w:val="32"/>
        </w:rPr>
        <w:t>实施乡村振兴战略，是党的十九大做出的重要决策部署，是新时代“三农”工作的总抓手。“十四五”时期是乡村振兴战略全面实施的发力期，东丽区要紧抓全面推进乡村振兴战略的机遇，全面谋划城乡融合发展的体制机制，使农业现代化水平稳步提升、生态环境明显好转、基层治理更加完善、居民生活水平显著提高，基本公共服务均等化进一步提升。</w:t>
      </w:r>
    </w:p>
    <w:p>
      <w:pPr>
        <w:pageBreakBefore w:val="0"/>
        <w:kinsoku/>
        <w:wordWrap/>
        <w:overflowPunct/>
        <w:topLinePunct w:val="0"/>
        <w:autoSpaceDE/>
        <w:autoSpaceDN/>
        <w:bidi w:val="0"/>
        <w:adjustRightInd w:val="0"/>
        <w:snapToGrid w:val="0"/>
        <w:spacing w:line="560" w:lineRule="exact"/>
        <w:ind w:left="0" w:firstLine="640" w:firstLineChars="200"/>
        <w:jc w:val="both"/>
        <w:textAlignment w:val="auto"/>
        <w:outlineLvl w:val="2"/>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（2）把握好京津冀协同发展战略机遇</w:t>
      </w:r>
    </w:p>
    <w:p>
      <w:pPr>
        <w:pageBreakBefore w:val="0"/>
        <w:kinsoku/>
        <w:wordWrap/>
        <w:overflowPunct/>
        <w:topLinePunct w:val="0"/>
        <w:autoSpaceDE/>
        <w:autoSpaceDN/>
        <w:bidi w:val="0"/>
        <w:adjustRightInd w:val="0"/>
        <w:snapToGrid w:val="0"/>
        <w:spacing w:line="560" w:lineRule="exact"/>
        <w:ind w:left="0" w:firstLine="640" w:firstLineChars="200"/>
        <w:jc w:val="both"/>
        <w:textAlignment w:val="auto"/>
        <w:rPr>
          <w:rFonts w:ascii="仿宋_GB2312" w:hAnsi="黑体" w:eastAsia="仿宋_GB2312"/>
          <w:sz w:val="32"/>
          <w:szCs w:val="32"/>
        </w:rPr>
      </w:pPr>
      <w:r>
        <w:rPr>
          <w:rFonts w:hint="eastAsia" w:ascii="仿宋_GB2312" w:hAnsi="仿宋" w:eastAsia="仿宋_GB2312" w:cs="仿宋"/>
          <w:sz w:val="32"/>
          <w:szCs w:val="32"/>
        </w:rPr>
        <w:t>紧抓京津冀协同发展的战略机遇，构建以新经济为核心的协同创新生态圈，发挥区位优势和资源优势，统筹三地科技、人才和项目等资源，提高资源配置效率，积极挖掘资源空间、合作空间和发展空间，打造一批精准承接的农业特色产业载体，成为北京非首都功能疏解的首选地。</w:t>
      </w:r>
    </w:p>
    <w:p>
      <w:pPr>
        <w:pageBreakBefore w:val="0"/>
        <w:kinsoku/>
        <w:wordWrap/>
        <w:overflowPunct/>
        <w:topLinePunct w:val="0"/>
        <w:autoSpaceDE/>
        <w:autoSpaceDN/>
        <w:bidi w:val="0"/>
        <w:adjustRightInd w:val="0"/>
        <w:snapToGrid w:val="0"/>
        <w:spacing w:line="560" w:lineRule="exact"/>
        <w:ind w:left="0" w:firstLine="640" w:firstLineChars="200"/>
        <w:jc w:val="both"/>
        <w:textAlignment w:val="auto"/>
        <w:outlineLvl w:val="2"/>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（3）把握好津滨双城发展新格局</w:t>
      </w:r>
    </w:p>
    <w:p>
      <w:pPr>
        <w:pageBreakBefore w:val="0"/>
        <w:kinsoku/>
        <w:wordWrap/>
        <w:overflowPunct/>
        <w:topLinePunct w:val="0"/>
        <w:autoSpaceDE/>
        <w:autoSpaceDN/>
        <w:bidi w:val="0"/>
        <w:adjustRightInd w:val="0"/>
        <w:snapToGrid w:val="0"/>
        <w:spacing w:line="560" w:lineRule="exact"/>
        <w:ind w:left="0" w:firstLine="640" w:firstLineChars="200"/>
        <w:jc w:val="both"/>
        <w:textAlignment w:val="auto"/>
        <w:rPr>
          <w:rFonts w:ascii="仿宋_GB2312" w:eastAsia="仿宋_GB2312"/>
          <w:sz w:val="32"/>
          <w:szCs w:val="32"/>
        </w:rPr>
      </w:pPr>
      <w:r>
        <w:rPr>
          <w:rFonts w:hint="eastAsia" w:ascii="仿宋_GB2312" w:hAnsi="仿宋" w:eastAsia="仿宋_GB2312" w:cs="仿宋"/>
          <w:sz w:val="32"/>
          <w:szCs w:val="32"/>
        </w:rPr>
        <w:t>把握“津城”和“滨城”双城发展新格局，借助连接双城的区位优势和生态优势，以服务“津城”为导向增强现代服务功能，以协同“滨城”为抓手加速动能升级，充分释放双城叠加驱动效应，进一步提升区域的农业产业优势，实现绿色高质量发展，并为新市镇居民创造更多就业机会，实现产业发展和民生改善共赢。</w:t>
      </w:r>
      <w:bookmarkStart w:id="26" w:name="_Hlk60668714"/>
    </w:p>
    <w:bookmarkEnd w:id="26"/>
    <w:p>
      <w:pPr>
        <w:pageBreakBefore w:val="0"/>
        <w:kinsoku/>
        <w:wordWrap/>
        <w:overflowPunct/>
        <w:topLinePunct w:val="0"/>
        <w:autoSpaceDE/>
        <w:autoSpaceDN/>
        <w:bidi w:val="0"/>
        <w:adjustRightInd w:val="0"/>
        <w:snapToGrid w:val="0"/>
        <w:spacing w:line="560" w:lineRule="exact"/>
        <w:ind w:left="0" w:firstLine="640" w:firstLineChars="200"/>
        <w:jc w:val="both"/>
        <w:textAlignment w:val="auto"/>
        <w:outlineLvl w:val="2"/>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（4）把握好绿色生态屏障建设机遇</w:t>
      </w:r>
    </w:p>
    <w:p>
      <w:pPr>
        <w:pageBreakBefore w:val="0"/>
        <w:kinsoku/>
        <w:wordWrap/>
        <w:overflowPunct/>
        <w:topLinePunct w:val="0"/>
        <w:autoSpaceDE/>
        <w:autoSpaceDN/>
        <w:bidi w:val="0"/>
        <w:adjustRightInd w:val="0"/>
        <w:snapToGrid w:val="0"/>
        <w:spacing w:line="560" w:lineRule="exact"/>
        <w:ind w:left="0" w:firstLine="640" w:firstLineChars="200"/>
        <w:jc w:val="both"/>
        <w:textAlignment w:val="auto"/>
        <w:rPr>
          <w:rFonts w:ascii="仿宋_GB2312" w:hAnsi="仿宋" w:eastAsia="仿宋_GB2312" w:cs="仿宋"/>
          <w:sz w:val="32"/>
          <w:szCs w:val="32"/>
        </w:rPr>
      </w:pPr>
      <w:r>
        <w:rPr>
          <w:rFonts w:hint="eastAsia" w:ascii="仿宋_GB2312" w:hAnsi="仿宋" w:eastAsia="仿宋_GB2312" w:cs="仿宋"/>
          <w:sz w:val="32"/>
          <w:szCs w:val="32"/>
        </w:rPr>
        <w:t>以建设绿色生态屏障为主线，加强生态空间与城市发展互动，释放东丽湖、海河、赤土生态湿地等生态资源经济价值，构建绿色生产生活体系，推进绿色产业发展，优化绿色生态体验，打造绿色生态宜游宜居城区。</w:t>
      </w:r>
      <w:bookmarkStart w:id="27" w:name="_Toc6495"/>
    </w:p>
    <w:p>
      <w:pPr>
        <w:pStyle w:val="4"/>
        <w:pageBreakBefore w:val="0"/>
        <w:kinsoku/>
        <w:wordWrap/>
        <w:overflowPunct/>
        <w:topLinePunct w:val="0"/>
        <w:autoSpaceDE/>
        <w:autoSpaceDN/>
        <w:bidi w:val="0"/>
        <w:spacing w:before="0" w:after="0" w:line="560" w:lineRule="exact"/>
        <w:ind w:left="0" w:firstLine="640" w:firstLineChars="200"/>
        <w:jc w:val="both"/>
        <w:textAlignment w:val="auto"/>
        <w:rPr>
          <w:rFonts w:ascii="楷体_GB2312" w:hAnsi="楷体_GB2312" w:eastAsia="楷体_GB2312" w:cs="楷体_GB2312"/>
          <w:b w:val="0"/>
          <w:bCs w:val="0"/>
          <w:sz w:val="32"/>
          <w:szCs w:val="32"/>
        </w:rPr>
      </w:pPr>
      <w:bookmarkStart w:id="28" w:name="_Toc32022"/>
      <w:bookmarkStart w:id="29" w:name="_Toc70524105"/>
      <w:bookmarkStart w:id="30" w:name="_Toc13272"/>
      <w:r>
        <w:rPr>
          <w:rFonts w:hint="eastAsia" w:ascii="楷体_GB2312" w:hAnsi="楷体_GB2312" w:eastAsia="楷体_GB2312" w:cs="楷体_GB2312"/>
          <w:b w:val="0"/>
          <w:bCs w:val="0"/>
          <w:sz w:val="32"/>
          <w:szCs w:val="32"/>
          <w:lang w:eastAsia="zh-CN"/>
        </w:rPr>
        <w:t>（二）</w:t>
      </w:r>
      <w:r>
        <w:rPr>
          <w:rFonts w:hint="eastAsia" w:ascii="楷体_GB2312" w:hAnsi="楷体_GB2312" w:eastAsia="楷体_GB2312" w:cs="楷体_GB2312"/>
          <w:b w:val="0"/>
          <w:bCs w:val="0"/>
          <w:sz w:val="32"/>
          <w:szCs w:val="32"/>
        </w:rPr>
        <w:t>面临挑战</w:t>
      </w:r>
      <w:bookmarkEnd w:id="27"/>
      <w:bookmarkEnd w:id="28"/>
      <w:bookmarkEnd w:id="29"/>
      <w:bookmarkEnd w:id="30"/>
    </w:p>
    <w:p>
      <w:pPr>
        <w:pageBreakBefore w:val="0"/>
        <w:kinsoku/>
        <w:wordWrap/>
        <w:overflowPunct/>
        <w:topLinePunct w:val="0"/>
        <w:autoSpaceDE/>
        <w:autoSpaceDN/>
        <w:bidi w:val="0"/>
        <w:adjustRightInd w:val="0"/>
        <w:snapToGrid w:val="0"/>
        <w:spacing w:line="560" w:lineRule="exact"/>
        <w:ind w:left="0" w:firstLine="640" w:firstLineChars="200"/>
        <w:jc w:val="both"/>
        <w:textAlignment w:val="auto"/>
        <w:outlineLvl w:val="2"/>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（1）宏观经济下行压力下新市民持续增收难</w:t>
      </w:r>
    </w:p>
    <w:p>
      <w:pPr>
        <w:pageBreakBefore w:val="0"/>
        <w:kinsoku/>
        <w:wordWrap/>
        <w:overflowPunct/>
        <w:topLinePunct w:val="0"/>
        <w:autoSpaceDE/>
        <w:autoSpaceDN/>
        <w:bidi w:val="0"/>
        <w:adjustRightInd w:val="0"/>
        <w:snapToGrid w:val="0"/>
        <w:spacing w:line="560" w:lineRule="exact"/>
        <w:ind w:left="0" w:firstLine="640" w:firstLineChars="200"/>
        <w:jc w:val="both"/>
        <w:textAlignment w:val="auto"/>
        <w:rPr>
          <w:rFonts w:ascii="仿宋_GB2312" w:hAnsi="仿宋" w:eastAsia="仿宋_GB2312" w:cs="仿宋"/>
          <w:sz w:val="32"/>
          <w:szCs w:val="32"/>
        </w:rPr>
      </w:pPr>
      <w:r>
        <w:rPr>
          <w:rFonts w:hint="eastAsia" w:ascii="仿宋_GB2312" w:hAnsi="仿宋" w:eastAsia="仿宋_GB2312" w:cs="仿宋"/>
          <w:sz w:val="32"/>
          <w:szCs w:val="32"/>
        </w:rPr>
        <w:t>当前，宏观经济下行压力加大，新冠肺炎疫情加速世界格局演进，外部环境不稳定性与不确定性增大，给我国经济发展带来严峻挑战，“双循环”发展新格局亟需加快建立。新市民转移就业的空间收窄，已呈现出就业总量和水平增长明显放缓的趋势，农业市场风险加大，农产品价格天花板和成本地板双重挤压日益凸显，集体经济收入增长步伐放缓，都导致新市民持续增收压力日益增大。</w:t>
      </w:r>
    </w:p>
    <w:p>
      <w:pPr>
        <w:pageBreakBefore w:val="0"/>
        <w:kinsoku/>
        <w:wordWrap/>
        <w:overflowPunct/>
        <w:topLinePunct w:val="0"/>
        <w:autoSpaceDE/>
        <w:autoSpaceDN/>
        <w:bidi w:val="0"/>
        <w:adjustRightInd w:val="0"/>
        <w:snapToGrid w:val="0"/>
        <w:spacing w:line="560" w:lineRule="exact"/>
        <w:ind w:left="0" w:firstLine="640" w:firstLineChars="200"/>
        <w:jc w:val="both"/>
        <w:textAlignment w:val="auto"/>
        <w:outlineLvl w:val="2"/>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（2）经济发展新动能不足与旧动能乏力同在</w:t>
      </w:r>
    </w:p>
    <w:p>
      <w:pPr>
        <w:pageBreakBefore w:val="0"/>
        <w:numPr>
          <w:ilvl w:val="255"/>
          <w:numId w:val="0"/>
        </w:numPr>
        <w:kinsoku/>
        <w:wordWrap/>
        <w:overflowPunct/>
        <w:topLinePunct w:val="0"/>
        <w:autoSpaceDE/>
        <w:autoSpaceDN/>
        <w:bidi w:val="0"/>
        <w:adjustRightInd w:val="0"/>
        <w:snapToGrid w:val="0"/>
        <w:spacing w:line="560" w:lineRule="exact"/>
        <w:ind w:left="0" w:firstLine="640" w:firstLineChars="200"/>
        <w:jc w:val="both"/>
        <w:textAlignment w:val="auto"/>
        <w:rPr>
          <w:rFonts w:ascii="仿宋_GB2312" w:hAnsi="仿宋" w:eastAsia="仿宋_GB2312" w:cs="仿宋"/>
          <w:sz w:val="32"/>
          <w:szCs w:val="32"/>
        </w:rPr>
      </w:pPr>
      <w:r>
        <w:rPr>
          <w:rFonts w:hint="eastAsia" w:ascii="仿宋_GB2312" w:hAnsi="仿宋" w:eastAsia="仿宋_GB2312" w:cs="仿宋"/>
          <w:sz w:val="32"/>
          <w:szCs w:val="32"/>
        </w:rPr>
        <w:t>新市镇的新产业、新业态、新模式“三新”发展尚未形成有效支撑的强劲动能。以投资拉动为主要驱动力的传统动能呈现乏力态势，表现为农业投资尤其是新项目、大项目的投资持续下滑。如何在城乡融合的框架下持续激发农业农村发展新动能，有效推进新旧动能转换，是亟待破解的又一难题。</w:t>
      </w:r>
    </w:p>
    <w:p>
      <w:pPr>
        <w:pageBreakBefore w:val="0"/>
        <w:kinsoku/>
        <w:wordWrap/>
        <w:overflowPunct/>
        <w:topLinePunct w:val="0"/>
        <w:autoSpaceDE/>
        <w:autoSpaceDN/>
        <w:bidi w:val="0"/>
        <w:adjustRightInd w:val="0"/>
        <w:snapToGrid w:val="0"/>
        <w:spacing w:line="560" w:lineRule="exact"/>
        <w:ind w:left="0" w:firstLine="640" w:firstLineChars="200"/>
        <w:jc w:val="both"/>
        <w:textAlignment w:val="auto"/>
        <w:outlineLvl w:val="2"/>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（3）以人为核心的新型城镇化实现任重道远</w:t>
      </w:r>
    </w:p>
    <w:p>
      <w:pPr>
        <w:pageBreakBefore w:val="0"/>
        <w:kinsoku/>
        <w:wordWrap/>
        <w:overflowPunct/>
        <w:topLinePunct w:val="0"/>
        <w:autoSpaceDE/>
        <w:autoSpaceDN/>
        <w:bidi w:val="0"/>
        <w:adjustRightInd w:val="0"/>
        <w:snapToGrid w:val="0"/>
        <w:spacing w:line="560" w:lineRule="exact"/>
        <w:ind w:left="0" w:firstLine="640" w:firstLineChars="200"/>
        <w:jc w:val="both"/>
        <w:textAlignment w:val="auto"/>
        <w:rPr>
          <w:rFonts w:ascii="仿宋_GB2312" w:hAnsi="仿宋" w:eastAsia="仿宋_GB2312" w:cs="仿宋"/>
          <w:sz w:val="32"/>
          <w:szCs w:val="32"/>
        </w:rPr>
      </w:pPr>
      <w:r>
        <w:rPr>
          <w:rFonts w:hint="eastAsia" w:ascii="仿宋_GB2312" w:hAnsi="仿宋" w:eastAsia="仿宋_GB2312" w:cs="仿宋"/>
          <w:sz w:val="32"/>
          <w:szCs w:val="32"/>
        </w:rPr>
        <w:t>东丽区作为天津市唯一一个实施全域城市化的涉农区，坚定不移地推进城镇化建设并取得长足进展的同时，依然存在一些问题，如新市民固有的思维定势与快速城镇化形成碰撞，生活习惯和文明程度与城镇化不相适应，文化素质和就业能力有待提升，基层社会治理水平和居民生活环境仍有待改善，进而影响了城镇化建设的质量，因此实现“以人为核心”的新型城镇化任重道远。</w:t>
      </w:r>
      <w:bookmarkEnd w:id="21"/>
    </w:p>
    <w:p>
      <w:pPr>
        <w:pStyle w:val="3"/>
        <w:pageBreakBefore w:val="0"/>
        <w:kinsoku/>
        <w:wordWrap/>
        <w:overflowPunct/>
        <w:topLinePunct w:val="0"/>
        <w:autoSpaceDE/>
        <w:autoSpaceDN/>
        <w:bidi w:val="0"/>
        <w:spacing w:line="560" w:lineRule="exact"/>
        <w:ind w:left="0" w:firstLine="640" w:firstLineChars="200"/>
        <w:jc w:val="both"/>
        <w:textAlignment w:val="auto"/>
      </w:pPr>
      <w:bookmarkStart w:id="31" w:name="_Toc27843"/>
      <w:bookmarkStart w:id="32" w:name="_Toc27042"/>
      <w:bookmarkStart w:id="33" w:name="_Toc619"/>
      <w:bookmarkStart w:id="34" w:name="_Toc70524106"/>
      <w:r>
        <w:rPr>
          <w:rFonts w:hint="eastAsia"/>
        </w:rPr>
        <w:t>三、汇聚发展合力，谱写农业农村现代化新篇章</w:t>
      </w:r>
      <w:bookmarkEnd w:id="31"/>
      <w:bookmarkEnd w:id="32"/>
      <w:bookmarkEnd w:id="33"/>
      <w:bookmarkEnd w:id="34"/>
    </w:p>
    <w:p>
      <w:pPr>
        <w:pStyle w:val="4"/>
        <w:pageBreakBefore w:val="0"/>
        <w:kinsoku/>
        <w:wordWrap/>
        <w:overflowPunct/>
        <w:topLinePunct w:val="0"/>
        <w:autoSpaceDE/>
        <w:autoSpaceDN/>
        <w:bidi w:val="0"/>
        <w:spacing w:before="0" w:after="0" w:line="560" w:lineRule="exact"/>
        <w:ind w:left="0" w:firstLine="640" w:firstLineChars="200"/>
        <w:jc w:val="both"/>
        <w:textAlignment w:val="auto"/>
        <w:rPr>
          <w:rFonts w:ascii="楷体_GB2312" w:hAnsi="楷体_GB2312" w:eastAsia="楷体_GB2312" w:cs="楷体_GB2312"/>
          <w:b w:val="0"/>
          <w:bCs w:val="0"/>
          <w:sz w:val="32"/>
          <w:szCs w:val="32"/>
        </w:rPr>
      </w:pPr>
      <w:bookmarkStart w:id="35" w:name="_Toc19240"/>
      <w:bookmarkStart w:id="36" w:name="_Toc2041"/>
      <w:bookmarkStart w:id="37" w:name="_Toc27503"/>
      <w:bookmarkStart w:id="38" w:name="_Toc70524107"/>
      <w:r>
        <w:rPr>
          <w:rFonts w:hint="eastAsia" w:ascii="楷体_GB2312" w:hAnsi="楷体_GB2312" w:eastAsia="楷体_GB2312" w:cs="楷体_GB2312"/>
          <w:b w:val="0"/>
          <w:bCs w:val="0"/>
          <w:sz w:val="32"/>
          <w:szCs w:val="32"/>
          <w:lang w:eastAsia="zh-CN"/>
        </w:rPr>
        <w:t>（一）</w:t>
      </w:r>
      <w:r>
        <w:rPr>
          <w:rFonts w:hint="eastAsia" w:ascii="楷体_GB2312" w:hAnsi="楷体_GB2312" w:eastAsia="楷体_GB2312" w:cs="楷体_GB2312"/>
          <w:b w:val="0"/>
          <w:bCs w:val="0"/>
          <w:sz w:val="32"/>
          <w:szCs w:val="32"/>
        </w:rPr>
        <w:t>指导思想</w:t>
      </w:r>
      <w:bookmarkEnd w:id="35"/>
      <w:bookmarkEnd w:id="36"/>
      <w:bookmarkEnd w:id="37"/>
      <w:bookmarkEnd w:id="38"/>
    </w:p>
    <w:p>
      <w:pPr>
        <w:pageBreakBefore w:val="0"/>
        <w:widowControl/>
        <w:kinsoku/>
        <w:wordWrap/>
        <w:overflowPunct/>
        <w:topLinePunct w:val="0"/>
        <w:autoSpaceDE/>
        <w:autoSpaceDN/>
        <w:bidi w:val="0"/>
        <w:adjustRightInd w:val="0"/>
        <w:snapToGrid w:val="0"/>
        <w:spacing w:line="560" w:lineRule="exact"/>
        <w:ind w:left="0" w:firstLine="640" w:firstLineChars="200"/>
        <w:jc w:val="both"/>
        <w:textAlignment w:val="auto"/>
        <w:rPr>
          <w:rFonts w:ascii="仿宋_GB2312" w:hAnsi="仿宋" w:eastAsia="仿宋_GB2312" w:cs="仿宋"/>
          <w:sz w:val="32"/>
          <w:szCs w:val="32"/>
        </w:rPr>
      </w:pPr>
      <w:r>
        <w:rPr>
          <w:rFonts w:hint="eastAsia" w:ascii="仿宋_GB2312" w:hAnsi="仿宋" w:eastAsia="仿宋_GB2312" w:cs="仿宋"/>
          <w:sz w:val="32"/>
          <w:szCs w:val="32"/>
        </w:rPr>
        <w:t>坚持以习近平新时代中国特色社会主义思想为指导，全面贯彻党的十九大和十九届二中、三中、四中、五中全会精神，全面实施乡村振兴战略，以深化农业供给侧结构性改革为主线，落实绿色高质量发展要求，牢固树立“生态优先、绿色发展、城乡融合、协同创新”理念，以改革创新为根本动力，统筹推进新市镇经济建设、政治建设、文化建设、社会建设和生态文明建设，打造产业融合示范区、高效农业示范区和生态文化示范区三大片区，构建农业农村现代化发展新格局，加快推进治理体系和治理能力现代化,促进农业高质高效、新市镇宜居宜业、新市民富裕富足，努力将东丽区建设成为高质量发展的生态绿谷。</w:t>
      </w:r>
    </w:p>
    <w:p>
      <w:pPr>
        <w:pStyle w:val="4"/>
        <w:pageBreakBefore w:val="0"/>
        <w:kinsoku/>
        <w:wordWrap/>
        <w:overflowPunct/>
        <w:topLinePunct w:val="0"/>
        <w:autoSpaceDE/>
        <w:autoSpaceDN/>
        <w:bidi w:val="0"/>
        <w:spacing w:before="0" w:after="0" w:line="560" w:lineRule="exact"/>
        <w:ind w:left="0" w:firstLine="640" w:firstLineChars="200"/>
        <w:jc w:val="both"/>
        <w:textAlignment w:val="auto"/>
        <w:rPr>
          <w:rFonts w:ascii="楷体_GB2312" w:hAnsi="楷体_GB2312" w:eastAsia="楷体_GB2312" w:cs="楷体_GB2312"/>
          <w:b w:val="0"/>
          <w:bCs w:val="0"/>
          <w:sz w:val="32"/>
          <w:szCs w:val="32"/>
        </w:rPr>
      </w:pPr>
      <w:bookmarkStart w:id="39" w:name="_Toc28715"/>
      <w:bookmarkStart w:id="40" w:name="_Toc30085"/>
      <w:bookmarkStart w:id="41" w:name="_Toc70524108"/>
      <w:bookmarkStart w:id="42" w:name="_Toc9752"/>
      <w:r>
        <w:rPr>
          <w:rFonts w:hint="eastAsia" w:ascii="楷体_GB2312" w:hAnsi="楷体_GB2312" w:eastAsia="楷体_GB2312" w:cs="楷体_GB2312"/>
          <w:b w:val="0"/>
          <w:bCs w:val="0"/>
          <w:sz w:val="32"/>
          <w:szCs w:val="32"/>
          <w:lang w:eastAsia="zh-CN"/>
        </w:rPr>
        <w:t>（二）</w:t>
      </w:r>
      <w:r>
        <w:rPr>
          <w:rFonts w:hint="eastAsia" w:ascii="楷体_GB2312" w:hAnsi="楷体_GB2312" w:eastAsia="楷体_GB2312" w:cs="楷体_GB2312"/>
          <w:b w:val="0"/>
          <w:bCs w:val="0"/>
          <w:sz w:val="32"/>
          <w:szCs w:val="32"/>
        </w:rPr>
        <w:t>发展原则</w:t>
      </w:r>
      <w:bookmarkEnd w:id="39"/>
      <w:bookmarkEnd w:id="40"/>
      <w:bookmarkEnd w:id="41"/>
      <w:bookmarkEnd w:id="42"/>
    </w:p>
    <w:p>
      <w:pPr>
        <w:pageBreakBefore w:val="0"/>
        <w:kinsoku/>
        <w:wordWrap/>
        <w:overflowPunct/>
        <w:topLinePunct w:val="0"/>
        <w:autoSpaceDE/>
        <w:autoSpaceDN/>
        <w:bidi w:val="0"/>
        <w:adjustRightInd w:val="0"/>
        <w:snapToGrid w:val="0"/>
        <w:spacing w:line="560" w:lineRule="exact"/>
        <w:ind w:left="0" w:firstLine="640" w:firstLineChars="200"/>
        <w:jc w:val="both"/>
        <w:textAlignment w:val="auto"/>
        <w:rPr>
          <w:rFonts w:ascii="仿宋_GB2312" w:hAnsi="仿宋" w:eastAsia="仿宋_GB2312" w:cs="仿宋"/>
          <w:bCs/>
          <w:sz w:val="32"/>
          <w:szCs w:val="32"/>
        </w:rPr>
      </w:pPr>
      <w:r>
        <w:rPr>
          <w:rFonts w:hint="eastAsia" w:ascii="仿宋_GB2312" w:hAnsi="仿宋" w:eastAsia="仿宋_GB2312" w:cs="仿宋"/>
          <w:bCs/>
          <w:sz w:val="32"/>
          <w:szCs w:val="32"/>
        </w:rPr>
        <w:t>——顶层统领、全面协调</w:t>
      </w:r>
    </w:p>
    <w:p>
      <w:pPr>
        <w:pageBreakBefore w:val="0"/>
        <w:kinsoku/>
        <w:wordWrap/>
        <w:overflowPunct/>
        <w:topLinePunct w:val="0"/>
        <w:autoSpaceDE/>
        <w:autoSpaceDN/>
        <w:bidi w:val="0"/>
        <w:adjustRightInd w:val="0"/>
        <w:snapToGrid w:val="0"/>
        <w:spacing w:line="560" w:lineRule="exact"/>
        <w:ind w:left="0" w:firstLine="640" w:firstLineChars="200"/>
        <w:jc w:val="both"/>
        <w:textAlignment w:val="auto"/>
        <w:rPr>
          <w:rFonts w:ascii="仿宋_GB2312" w:hAnsi="仿宋" w:eastAsia="仿宋_GB2312" w:cs="仿宋"/>
          <w:sz w:val="32"/>
          <w:szCs w:val="32"/>
        </w:rPr>
      </w:pPr>
      <w:r>
        <w:rPr>
          <w:rFonts w:hint="eastAsia" w:ascii="仿宋_GB2312" w:hAnsi="仿宋" w:eastAsia="仿宋_GB2312" w:cs="仿宋"/>
          <w:sz w:val="32"/>
          <w:szCs w:val="32"/>
        </w:rPr>
        <w:t>坚持和加强党的领导，健全党管新市镇工作领导体制机制，</w:t>
      </w:r>
      <w:r>
        <w:rPr>
          <w:rFonts w:hint="eastAsia" w:ascii="仿宋_GB2312" w:hAnsi="仿宋" w:eastAsia="仿宋_GB2312" w:cs="仿宋"/>
          <w:color w:val="000000"/>
          <w:sz w:val="32"/>
          <w:szCs w:val="32"/>
        </w:rPr>
        <w:t>为经济发展提供强有力的政治保障</w:t>
      </w:r>
      <w:r>
        <w:rPr>
          <w:rFonts w:hint="eastAsia" w:ascii="仿宋_GB2312" w:hAnsi="仿宋" w:eastAsia="仿宋_GB2312" w:cs="仿宋"/>
          <w:sz w:val="32"/>
          <w:szCs w:val="32"/>
        </w:rPr>
        <w:t>。加强顶层设计，规划先行、统筹保障、全面协调，加快“多规合一”步伐，整体部署，统筹推进经济、政治、文化、社会、生态和党的建设，实现产业、人才、文化、生态和组织全面振兴。</w:t>
      </w:r>
    </w:p>
    <w:p>
      <w:pPr>
        <w:pageBreakBefore w:val="0"/>
        <w:kinsoku/>
        <w:wordWrap/>
        <w:overflowPunct/>
        <w:topLinePunct w:val="0"/>
        <w:autoSpaceDE/>
        <w:autoSpaceDN/>
        <w:bidi w:val="0"/>
        <w:adjustRightInd w:val="0"/>
        <w:snapToGrid w:val="0"/>
        <w:spacing w:line="560" w:lineRule="exact"/>
        <w:ind w:left="0" w:firstLine="640" w:firstLineChars="200"/>
        <w:jc w:val="both"/>
        <w:textAlignment w:val="auto"/>
        <w:rPr>
          <w:rFonts w:ascii="仿宋_GB2312" w:hAnsi="仿宋" w:eastAsia="仿宋_GB2312" w:cs="仿宋"/>
          <w:bCs/>
          <w:sz w:val="32"/>
          <w:szCs w:val="32"/>
        </w:rPr>
      </w:pPr>
      <w:r>
        <w:rPr>
          <w:rFonts w:hint="eastAsia" w:ascii="仿宋_GB2312" w:hAnsi="仿宋" w:eastAsia="仿宋_GB2312" w:cs="仿宋"/>
          <w:bCs/>
          <w:sz w:val="32"/>
          <w:szCs w:val="32"/>
        </w:rPr>
        <w:t>——绿色发展、全域融合</w:t>
      </w:r>
    </w:p>
    <w:p>
      <w:pPr>
        <w:pageBreakBefore w:val="0"/>
        <w:widowControl/>
        <w:kinsoku/>
        <w:wordWrap/>
        <w:overflowPunct/>
        <w:topLinePunct w:val="0"/>
        <w:autoSpaceDE/>
        <w:autoSpaceDN/>
        <w:bidi w:val="0"/>
        <w:adjustRightInd w:val="0"/>
        <w:snapToGrid w:val="0"/>
        <w:spacing w:line="560" w:lineRule="exact"/>
        <w:ind w:left="0" w:firstLine="640" w:firstLineChars="200"/>
        <w:jc w:val="both"/>
        <w:textAlignment w:val="auto"/>
        <w:rPr>
          <w:rFonts w:ascii="仿宋_GB2312" w:hAnsi="仿宋" w:eastAsia="仿宋_GB2312" w:cs="仿宋"/>
          <w:sz w:val="32"/>
          <w:szCs w:val="32"/>
        </w:rPr>
      </w:pPr>
      <w:r>
        <w:rPr>
          <w:rFonts w:hint="eastAsia" w:ascii="仿宋_GB2312" w:hAnsi="仿宋" w:eastAsia="仿宋_GB2312" w:cs="仿宋"/>
          <w:sz w:val="32"/>
          <w:szCs w:val="32"/>
        </w:rPr>
        <w:t>秉持生态文明理念，严格遵守生态红线，坚持绿色富民发展导向，积极拓展发展空间，坚定不移走高质量绿色发展道路。按照全域融合的发展思路，加快推进新型城镇化建设，全面推动生态融合、交通融合、产业融合、城乡融合、文化融合、社会融合等上水平，实现农业农村发展质量、结构、规模、速度、 效益、生态相统一。</w:t>
      </w:r>
    </w:p>
    <w:p>
      <w:pPr>
        <w:pageBreakBefore w:val="0"/>
        <w:kinsoku/>
        <w:wordWrap/>
        <w:overflowPunct/>
        <w:topLinePunct w:val="0"/>
        <w:autoSpaceDE/>
        <w:autoSpaceDN/>
        <w:bidi w:val="0"/>
        <w:adjustRightInd w:val="0"/>
        <w:snapToGrid w:val="0"/>
        <w:spacing w:line="560" w:lineRule="exact"/>
        <w:ind w:left="0" w:firstLine="640" w:firstLineChars="200"/>
        <w:jc w:val="both"/>
        <w:textAlignment w:val="auto"/>
        <w:rPr>
          <w:rFonts w:ascii="仿宋_GB2312" w:hAnsi="仿宋" w:eastAsia="仿宋_GB2312" w:cs="仿宋"/>
          <w:bCs/>
          <w:sz w:val="32"/>
          <w:szCs w:val="32"/>
        </w:rPr>
      </w:pPr>
      <w:r>
        <w:rPr>
          <w:rFonts w:hint="eastAsia" w:ascii="仿宋_GB2312" w:hAnsi="仿宋" w:eastAsia="仿宋_GB2312" w:cs="仿宋"/>
          <w:bCs/>
          <w:sz w:val="32"/>
          <w:szCs w:val="32"/>
        </w:rPr>
        <w:t>——因地制宜、精准施策</w:t>
      </w:r>
    </w:p>
    <w:p>
      <w:pPr>
        <w:pageBreakBefore w:val="0"/>
        <w:kinsoku/>
        <w:wordWrap/>
        <w:overflowPunct/>
        <w:topLinePunct w:val="0"/>
        <w:autoSpaceDE/>
        <w:autoSpaceDN/>
        <w:bidi w:val="0"/>
        <w:adjustRightInd w:val="0"/>
        <w:snapToGrid w:val="0"/>
        <w:spacing w:line="560" w:lineRule="exact"/>
        <w:ind w:left="0" w:firstLine="640" w:firstLineChars="200"/>
        <w:jc w:val="both"/>
        <w:textAlignment w:val="auto"/>
        <w:rPr>
          <w:rFonts w:ascii="仿宋_GB2312" w:hAnsi="仿宋" w:eastAsia="仿宋_GB2312" w:cs="仿宋"/>
          <w:sz w:val="32"/>
          <w:szCs w:val="32"/>
        </w:rPr>
      </w:pPr>
      <w:r>
        <w:rPr>
          <w:rFonts w:hint="eastAsia" w:ascii="仿宋_GB2312" w:hAnsi="仿宋" w:eastAsia="仿宋_GB2312" w:cs="仿宋"/>
          <w:sz w:val="32"/>
          <w:szCs w:val="32"/>
        </w:rPr>
        <w:t>立足资源禀赋精准施策，因地制宜确定发展目标，高起点谋划产业布局，高效能发展产业融合产城融合，高标准建设推进新型城镇化，全面打造产业创新高地、宜居生态新城。</w:t>
      </w:r>
    </w:p>
    <w:p>
      <w:pPr>
        <w:pageBreakBefore w:val="0"/>
        <w:kinsoku/>
        <w:wordWrap/>
        <w:overflowPunct/>
        <w:topLinePunct w:val="0"/>
        <w:autoSpaceDE/>
        <w:autoSpaceDN/>
        <w:bidi w:val="0"/>
        <w:adjustRightInd w:val="0"/>
        <w:snapToGrid w:val="0"/>
        <w:spacing w:line="560" w:lineRule="exact"/>
        <w:ind w:left="0" w:firstLine="640" w:firstLineChars="200"/>
        <w:jc w:val="both"/>
        <w:textAlignment w:val="auto"/>
        <w:rPr>
          <w:rFonts w:ascii="仿宋_GB2312" w:hAnsi="仿宋" w:eastAsia="仿宋_GB2312" w:cs="仿宋"/>
          <w:bCs/>
          <w:sz w:val="32"/>
          <w:szCs w:val="32"/>
        </w:rPr>
      </w:pPr>
      <w:r>
        <w:rPr>
          <w:rFonts w:hint="eastAsia" w:ascii="仿宋_GB2312" w:hAnsi="仿宋" w:eastAsia="仿宋_GB2312" w:cs="仿宋"/>
          <w:bCs/>
          <w:sz w:val="32"/>
          <w:szCs w:val="32"/>
        </w:rPr>
        <w:t>——改革创新、激发活力</w:t>
      </w:r>
    </w:p>
    <w:p>
      <w:pPr>
        <w:pageBreakBefore w:val="0"/>
        <w:widowControl/>
        <w:kinsoku/>
        <w:wordWrap/>
        <w:overflowPunct/>
        <w:topLinePunct w:val="0"/>
        <w:autoSpaceDE/>
        <w:autoSpaceDN/>
        <w:bidi w:val="0"/>
        <w:adjustRightInd w:val="0"/>
        <w:snapToGrid w:val="0"/>
        <w:spacing w:line="560" w:lineRule="exact"/>
        <w:ind w:left="0" w:firstLine="616" w:firstLineChars="200"/>
        <w:jc w:val="both"/>
        <w:textAlignment w:val="auto"/>
        <w:rPr>
          <w:rFonts w:ascii="仿宋_GB2312" w:hAnsi="仿宋" w:eastAsia="仿宋_GB2312" w:cs="仿宋"/>
          <w:spacing w:val="-6"/>
          <w:sz w:val="32"/>
          <w:szCs w:val="32"/>
        </w:rPr>
      </w:pPr>
      <w:r>
        <w:rPr>
          <w:rFonts w:hint="eastAsia" w:ascii="仿宋_GB2312" w:hAnsi="仿宋" w:eastAsia="仿宋_GB2312" w:cs="仿宋"/>
          <w:spacing w:val="-6"/>
          <w:sz w:val="32"/>
          <w:szCs w:val="32"/>
        </w:rPr>
        <w:t>坚持统筹推进民生保障制度、土地制度、集体产权制度等各项综合改革，创新思路激发各类主体活力，激活各类要素潜能，优化资源配置，调动全社会力量投身乡村振兴，增强内生发展动力。</w:t>
      </w:r>
    </w:p>
    <w:p>
      <w:pPr>
        <w:pStyle w:val="4"/>
        <w:pageBreakBefore w:val="0"/>
        <w:kinsoku/>
        <w:wordWrap/>
        <w:overflowPunct/>
        <w:topLinePunct w:val="0"/>
        <w:autoSpaceDE/>
        <w:autoSpaceDN/>
        <w:bidi w:val="0"/>
        <w:spacing w:before="0" w:after="0" w:line="560" w:lineRule="exact"/>
        <w:ind w:left="0" w:firstLine="640" w:firstLineChars="200"/>
        <w:jc w:val="both"/>
        <w:textAlignment w:val="auto"/>
        <w:rPr>
          <w:rFonts w:ascii="楷体_GB2312" w:hAnsi="楷体_GB2312" w:eastAsia="楷体_GB2312" w:cs="楷体_GB2312"/>
          <w:b w:val="0"/>
          <w:bCs w:val="0"/>
          <w:sz w:val="32"/>
          <w:szCs w:val="32"/>
        </w:rPr>
      </w:pPr>
      <w:bookmarkStart w:id="43" w:name="_Toc15919"/>
      <w:bookmarkStart w:id="44" w:name="_Toc70524109"/>
      <w:bookmarkStart w:id="45" w:name="_Toc23607"/>
      <w:bookmarkStart w:id="46" w:name="_Toc14179"/>
      <w:r>
        <w:rPr>
          <w:rFonts w:hint="eastAsia" w:ascii="楷体_GB2312" w:hAnsi="楷体_GB2312" w:eastAsia="楷体_GB2312" w:cs="楷体_GB2312"/>
          <w:b w:val="0"/>
          <w:bCs w:val="0"/>
          <w:sz w:val="32"/>
          <w:szCs w:val="32"/>
          <w:lang w:eastAsia="zh-CN"/>
        </w:rPr>
        <w:t>（三）</w:t>
      </w:r>
      <w:r>
        <w:rPr>
          <w:rFonts w:hint="eastAsia" w:ascii="楷体_GB2312" w:hAnsi="楷体_GB2312" w:eastAsia="楷体_GB2312" w:cs="楷体_GB2312"/>
          <w:b w:val="0"/>
          <w:bCs w:val="0"/>
          <w:sz w:val="32"/>
          <w:szCs w:val="32"/>
        </w:rPr>
        <w:t>发展目标</w:t>
      </w:r>
      <w:bookmarkEnd w:id="43"/>
      <w:bookmarkEnd w:id="44"/>
      <w:bookmarkEnd w:id="45"/>
      <w:bookmarkEnd w:id="46"/>
    </w:p>
    <w:p>
      <w:pPr>
        <w:pageBreakBefore w:val="0"/>
        <w:kinsoku/>
        <w:wordWrap/>
        <w:overflowPunct/>
        <w:topLinePunct w:val="0"/>
        <w:autoSpaceDE/>
        <w:autoSpaceDN/>
        <w:bidi w:val="0"/>
        <w:adjustRightInd w:val="0"/>
        <w:snapToGrid w:val="0"/>
        <w:spacing w:line="560" w:lineRule="exact"/>
        <w:ind w:left="0" w:firstLine="640" w:firstLineChars="200"/>
        <w:jc w:val="both"/>
        <w:textAlignment w:val="auto"/>
        <w:rPr>
          <w:rFonts w:ascii="仿宋_GB2312" w:hAnsi="仿宋" w:eastAsia="仿宋_GB2312" w:cs="仿宋"/>
          <w:sz w:val="32"/>
          <w:szCs w:val="32"/>
        </w:rPr>
      </w:pPr>
      <w:bookmarkStart w:id="47" w:name="_Toc778448630"/>
      <w:r>
        <w:rPr>
          <w:rFonts w:hint="eastAsia" w:ascii="仿宋_GB2312" w:hAnsi="仿宋" w:eastAsia="仿宋_GB2312" w:cs="仿宋"/>
          <w:sz w:val="32"/>
          <w:szCs w:val="32"/>
        </w:rPr>
        <w:t>到2025年，东丽区乡村振兴战略实施取得阶段性新成效，率先基本实现农业现代化，实现城区、景区、农区“三区联动”发展，形成城乡融合发展新格局，基本实现产业兴、生态优、民风正、治理强、居民富的目标。</w:t>
      </w:r>
    </w:p>
    <w:p>
      <w:pPr>
        <w:pageBreakBefore w:val="0"/>
        <w:kinsoku/>
        <w:wordWrap/>
        <w:overflowPunct/>
        <w:topLinePunct w:val="0"/>
        <w:autoSpaceDE/>
        <w:autoSpaceDN/>
        <w:bidi w:val="0"/>
        <w:adjustRightInd w:val="0"/>
        <w:snapToGrid w:val="0"/>
        <w:spacing w:line="560" w:lineRule="exact"/>
        <w:ind w:left="0" w:firstLine="640" w:firstLineChars="200"/>
        <w:jc w:val="both"/>
        <w:textAlignment w:val="auto"/>
        <w:rPr>
          <w:rFonts w:ascii="仿宋_GB2312" w:hAnsi="仿宋" w:eastAsia="仿宋_GB2312" w:cs="仿宋"/>
          <w:sz w:val="32"/>
          <w:szCs w:val="32"/>
        </w:rPr>
      </w:pPr>
      <w:r>
        <w:rPr>
          <w:rFonts w:hint="eastAsia" w:ascii="仿宋_GB2312" w:hAnsi="仿宋" w:eastAsia="仿宋_GB2312" w:cs="仿宋"/>
          <w:sz w:val="32"/>
          <w:szCs w:val="32"/>
        </w:rPr>
        <w:t>——生产、生活、生态深度融合，都市农业高质量发展格局形成。以绿色和科技为引领，依托资源优势确定发展定位，打造“生活+、生产+、生态+”三位一体的发展格局。北部以华明、东丽湖为核心打造“生活+”产业融合示范区，建设宜居宜业宜游的乡村慢生活体验示范区、高标准粮食生产示范基地以及农旅融合都市田园区；西部以金钟街为核心打造“生产+”高效农业示范区，建设万亩西红柿特色产业基地；南部以绿色生态屏障绿芯和古海岸绿廊为核心打造“生态+”生态文化示范区，建设绿色生态立体农业示范基地。农林牧渔总产值年增长2%上，粮食综合生产能力稳定在2.3万吨。打造三产融合发展示范区2个，2025年末休闲农业和乡村旅游年接待游客数量达到300万人次，年综合收入1亿元。</w:t>
      </w:r>
    </w:p>
    <w:p>
      <w:pPr>
        <w:pageBreakBefore w:val="0"/>
        <w:kinsoku/>
        <w:wordWrap/>
        <w:overflowPunct/>
        <w:topLinePunct w:val="0"/>
        <w:autoSpaceDE/>
        <w:autoSpaceDN/>
        <w:bidi w:val="0"/>
        <w:adjustRightInd w:val="0"/>
        <w:snapToGrid w:val="0"/>
        <w:spacing w:line="560" w:lineRule="exact"/>
        <w:ind w:left="0" w:firstLine="640" w:firstLineChars="200"/>
        <w:jc w:val="both"/>
        <w:textAlignment w:val="auto"/>
        <w:rPr>
          <w:rFonts w:ascii="仿宋_GB2312" w:hAnsi="仿宋" w:eastAsia="仿宋_GB2312" w:cs="仿宋"/>
          <w:sz w:val="32"/>
          <w:szCs w:val="32"/>
        </w:rPr>
      </w:pPr>
      <w:r>
        <w:rPr>
          <w:rFonts w:hint="eastAsia" w:ascii="仿宋_GB2312" w:hAnsi="仿宋" w:eastAsia="仿宋_GB2312" w:cs="仿宋"/>
          <w:sz w:val="32"/>
          <w:szCs w:val="32"/>
        </w:rPr>
        <w:t>——生态环境和人居环境持续改善。绿色生态屏障建设全面推进，水生态环境治理水平显著提高，人居环境持续改善，农业污染防治水平显著提高，农业资源保护和利用效率显著提升。到2025年，区域内二级河道水体主要指标达到V类标准，农产品质量安全例行监测总体合格率达到98%以上，农业废弃物资源化利用率达到95%以上，主要农作物农药利用率达到50%以上，农田残膜回收率达到99%。</w:t>
      </w:r>
    </w:p>
    <w:p>
      <w:pPr>
        <w:pageBreakBefore w:val="0"/>
        <w:kinsoku/>
        <w:wordWrap/>
        <w:overflowPunct/>
        <w:topLinePunct w:val="0"/>
        <w:autoSpaceDE/>
        <w:autoSpaceDN/>
        <w:bidi w:val="0"/>
        <w:adjustRightInd w:val="0"/>
        <w:snapToGrid w:val="0"/>
        <w:spacing w:line="560" w:lineRule="exact"/>
        <w:ind w:left="0" w:firstLine="640" w:firstLineChars="200"/>
        <w:jc w:val="both"/>
        <w:textAlignment w:val="auto"/>
        <w:rPr>
          <w:rFonts w:ascii="仿宋_GB2312" w:hAnsi="仿宋" w:eastAsia="仿宋_GB2312" w:cs="仿宋"/>
          <w:sz w:val="32"/>
          <w:szCs w:val="32"/>
        </w:rPr>
      </w:pPr>
      <w:r>
        <w:rPr>
          <w:rFonts w:hint="eastAsia" w:ascii="仿宋_GB2312" w:hAnsi="仿宋" w:eastAsia="仿宋_GB2312" w:cs="仿宋"/>
          <w:sz w:val="32"/>
          <w:szCs w:val="32"/>
        </w:rPr>
        <w:t>——文明新风更加浓郁，文化更加繁荣。社会主义核心价值观深入人心，新市民道德水平和文明素养显著提高，新市镇公共文化服务体系更加健全，优秀传统文化传承发展水平进一步提高，百姓精神文化生活更加健康丰富。</w:t>
      </w:r>
    </w:p>
    <w:p>
      <w:pPr>
        <w:pageBreakBefore w:val="0"/>
        <w:kinsoku/>
        <w:wordWrap/>
        <w:overflowPunct/>
        <w:topLinePunct w:val="0"/>
        <w:autoSpaceDE/>
        <w:autoSpaceDN/>
        <w:bidi w:val="0"/>
        <w:adjustRightInd w:val="0"/>
        <w:snapToGrid w:val="0"/>
        <w:spacing w:line="560" w:lineRule="exact"/>
        <w:ind w:left="0" w:firstLine="640" w:firstLineChars="200"/>
        <w:jc w:val="both"/>
        <w:textAlignment w:val="auto"/>
        <w:rPr>
          <w:rFonts w:ascii="仿宋_GB2312" w:hAnsi="仿宋" w:eastAsia="仿宋_GB2312" w:cs="仿宋"/>
          <w:sz w:val="32"/>
          <w:szCs w:val="32"/>
        </w:rPr>
      </w:pPr>
      <w:r>
        <w:rPr>
          <w:rFonts w:hint="eastAsia" w:ascii="仿宋_GB2312" w:hAnsi="仿宋" w:eastAsia="仿宋_GB2312" w:cs="仿宋"/>
          <w:sz w:val="32"/>
          <w:szCs w:val="32"/>
        </w:rPr>
        <w:t>——城乡一体的治理体系愈加完善。以党组织为核心的基层组织建设更加成熟，社区民主自治体系更加完善，社会治理结构更加优化，“网格化+大数据”的精准治理模式更加科学。平安法治建设进一步深化，社会更加和谐稳定。</w:t>
      </w:r>
    </w:p>
    <w:p>
      <w:pPr>
        <w:pageBreakBefore w:val="0"/>
        <w:kinsoku/>
        <w:wordWrap/>
        <w:overflowPunct/>
        <w:topLinePunct w:val="0"/>
        <w:autoSpaceDE/>
        <w:autoSpaceDN/>
        <w:bidi w:val="0"/>
        <w:adjustRightInd w:val="0"/>
        <w:snapToGrid w:val="0"/>
        <w:spacing w:line="560" w:lineRule="exact"/>
        <w:ind w:left="0" w:firstLine="640" w:firstLineChars="200"/>
        <w:jc w:val="both"/>
        <w:textAlignment w:val="auto"/>
        <w:rPr>
          <w:rFonts w:ascii="仿宋" w:hAnsi="仿宋" w:eastAsia="仿宋" w:cs="仿宋"/>
          <w:sz w:val="32"/>
          <w:szCs w:val="32"/>
        </w:rPr>
      </w:pPr>
      <w:r>
        <w:rPr>
          <w:rFonts w:hint="eastAsia" w:ascii="仿宋_GB2312" w:hAnsi="仿宋" w:eastAsia="仿宋_GB2312" w:cs="仿宋"/>
          <w:sz w:val="32"/>
          <w:szCs w:val="32"/>
        </w:rPr>
        <w:t>——民生福祉达到新水平。城乡市政和交通等基础设施实现一体化配置，百姓生活更加便捷，公共服务均等化水平显著提升，新型城镇化带动产业集聚发展，新市民就业更加充分，收入水平持续增长，民众获得感不断增强。</w:t>
      </w:r>
    </w:p>
    <w:p>
      <w:pPr>
        <w:adjustRightInd w:val="0"/>
        <w:snapToGrid w:val="0"/>
        <w:spacing w:beforeLines="50" w:afterLines="50"/>
        <w:jc w:val="center"/>
        <w:outlineLvl w:val="1"/>
        <w:rPr>
          <w:rFonts w:ascii="楷体" w:hAnsi="楷体" w:eastAsia="楷体" w:cs="楷体"/>
          <w:b/>
          <w:bCs/>
          <w:sz w:val="30"/>
          <w:szCs w:val="30"/>
        </w:rPr>
      </w:pPr>
      <w:bookmarkStart w:id="48" w:name="_Toc70524110"/>
      <w:bookmarkStart w:id="49" w:name="_Toc17637"/>
      <w:bookmarkStart w:id="50" w:name="_Toc14867"/>
      <w:r>
        <w:rPr>
          <w:rFonts w:hint="eastAsia" w:ascii="楷体" w:hAnsi="楷体" w:eastAsia="楷体" w:cs="楷体"/>
          <w:b/>
          <w:bCs/>
          <w:sz w:val="30"/>
          <w:szCs w:val="30"/>
        </w:rPr>
        <w:t>表1东丽区农业农村现代化“十四五”规划主要指标</w:t>
      </w:r>
      <w:bookmarkEnd w:id="48"/>
      <w:bookmarkEnd w:id="49"/>
      <w:bookmarkEnd w:id="50"/>
    </w:p>
    <w:tbl>
      <w:tblPr>
        <w:tblStyle w:val="13"/>
        <w:tblW w:w="5000"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997"/>
        <w:gridCol w:w="732"/>
        <w:gridCol w:w="3071"/>
        <w:gridCol w:w="864"/>
        <w:gridCol w:w="1210"/>
        <w:gridCol w:w="1102"/>
        <w:gridCol w:w="108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550" w:type="pct"/>
            <w:vAlign w:val="center"/>
          </w:tcPr>
          <w:p>
            <w:pPr>
              <w:widowControl/>
              <w:adjustRightInd w:val="0"/>
              <w:snapToGrid w:val="0"/>
              <w:jc w:val="center"/>
              <w:rPr>
                <w:rFonts w:ascii="宋体" w:hAnsi="宋体" w:eastAsia="宋体" w:cs="宋体"/>
                <w:bCs/>
                <w:kern w:val="0"/>
                <w:szCs w:val="21"/>
              </w:rPr>
            </w:pPr>
            <w:bookmarkStart w:id="51" w:name="RANGE!A1"/>
            <w:r>
              <w:rPr>
                <w:rFonts w:hint="eastAsia" w:ascii="宋体" w:hAnsi="宋体" w:eastAsia="宋体" w:cs="宋体"/>
                <w:bCs/>
                <w:kern w:val="0"/>
                <w:szCs w:val="21"/>
              </w:rPr>
              <w:t>分类</w:t>
            </w:r>
          </w:p>
        </w:tc>
        <w:tc>
          <w:tcPr>
            <w:tcW w:w="404" w:type="pct"/>
            <w:vAlign w:val="center"/>
          </w:tcPr>
          <w:p>
            <w:pPr>
              <w:widowControl/>
              <w:adjustRightInd w:val="0"/>
              <w:snapToGrid w:val="0"/>
              <w:jc w:val="center"/>
              <w:rPr>
                <w:rFonts w:ascii="宋体" w:hAnsi="宋体" w:eastAsia="宋体" w:cs="宋体"/>
                <w:bCs/>
                <w:kern w:val="0"/>
                <w:szCs w:val="21"/>
              </w:rPr>
            </w:pPr>
            <w:r>
              <w:rPr>
                <w:rFonts w:hint="eastAsia" w:ascii="宋体" w:hAnsi="宋体" w:eastAsia="宋体" w:cs="宋体"/>
                <w:bCs/>
                <w:kern w:val="0"/>
                <w:szCs w:val="21"/>
              </w:rPr>
              <w:t>序号</w:t>
            </w:r>
          </w:p>
        </w:tc>
        <w:tc>
          <w:tcPr>
            <w:tcW w:w="1695" w:type="pct"/>
            <w:vAlign w:val="center"/>
          </w:tcPr>
          <w:p>
            <w:pPr>
              <w:widowControl/>
              <w:adjustRightInd w:val="0"/>
              <w:snapToGrid w:val="0"/>
              <w:jc w:val="center"/>
              <w:rPr>
                <w:rFonts w:ascii="宋体" w:hAnsi="宋体" w:eastAsia="宋体" w:cs="宋体"/>
                <w:bCs/>
                <w:kern w:val="0"/>
                <w:szCs w:val="21"/>
              </w:rPr>
            </w:pPr>
            <w:r>
              <w:rPr>
                <w:rFonts w:hint="eastAsia" w:ascii="宋体" w:hAnsi="宋体" w:eastAsia="宋体" w:cs="宋体"/>
                <w:bCs/>
                <w:kern w:val="0"/>
                <w:szCs w:val="21"/>
              </w:rPr>
              <w:t>主要指标</w:t>
            </w:r>
          </w:p>
        </w:tc>
        <w:tc>
          <w:tcPr>
            <w:tcW w:w="477" w:type="pct"/>
            <w:vAlign w:val="center"/>
          </w:tcPr>
          <w:p>
            <w:pPr>
              <w:widowControl/>
              <w:adjustRightInd w:val="0"/>
              <w:snapToGrid w:val="0"/>
              <w:ind w:left="-199" w:firstLine="369" w:firstLineChars="176"/>
              <w:jc w:val="center"/>
              <w:rPr>
                <w:rFonts w:ascii="宋体" w:hAnsi="宋体" w:eastAsia="宋体" w:cs="宋体"/>
                <w:bCs/>
                <w:kern w:val="0"/>
                <w:szCs w:val="21"/>
              </w:rPr>
            </w:pPr>
            <w:r>
              <w:rPr>
                <w:rFonts w:hint="eastAsia" w:ascii="宋体" w:hAnsi="宋体" w:eastAsia="宋体" w:cs="宋体"/>
                <w:bCs/>
                <w:kern w:val="0"/>
                <w:szCs w:val="21"/>
              </w:rPr>
              <w:t>单位</w:t>
            </w:r>
          </w:p>
        </w:tc>
        <w:tc>
          <w:tcPr>
            <w:tcW w:w="668" w:type="pct"/>
            <w:vAlign w:val="center"/>
          </w:tcPr>
          <w:p>
            <w:pPr>
              <w:widowControl/>
              <w:adjustRightInd w:val="0"/>
              <w:snapToGrid w:val="0"/>
              <w:jc w:val="center"/>
              <w:rPr>
                <w:rFonts w:ascii="宋体" w:hAnsi="宋体" w:eastAsia="宋体" w:cs="宋体"/>
                <w:bCs/>
                <w:kern w:val="0"/>
                <w:szCs w:val="21"/>
              </w:rPr>
            </w:pPr>
            <w:r>
              <w:rPr>
                <w:rFonts w:ascii="宋体" w:hAnsi="宋体" w:eastAsia="宋体" w:cs="宋体"/>
                <w:bCs/>
                <w:kern w:val="0"/>
                <w:szCs w:val="21"/>
              </w:rPr>
              <w:t>2020年</w:t>
            </w:r>
          </w:p>
          <w:p>
            <w:pPr>
              <w:widowControl/>
              <w:adjustRightInd w:val="0"/>
              <w:snapToGrid w:val="0"/>
              <w:ind w:left="-199" w:firstLine="369" w:firstLineChars="176"/>
              <w:jc w:val="center"/>
              <w:rPr>
                <w:rFonts w:ascii="宋体" w:hAnsi="宋体" w:eastAsia="宋体" w:cs="宋体"/>
                <w:bCs/>
                <w:kern w:val="0"/>
                <w:szCs w:val="21"/>
              </w:rPr>
            </w:pPr>
            <w:r>
              <w:rPr>
                <w:rFonts w:ascii="宋体" w:hAnsi="宋体" w:eastAsia="宋体" w:cs="宋体"/>
                <w:bCs/>
                <w:kern w:val="0"/>
                <w:szCs w:val="21"/>
              </w:rPr>
              <w:t>基期值</w:t>
            </w:r>
          </w:p>
        </w:tc>
        <w:tc>
          <w:tcPr>
            <w:tcW w:w="608" w:type="pct"/>
            <w:vAlign w:val="center"/>
          </w:tcPr>
          <w:p>
            <w:pPr>
              <w:widowControl/>
              <w:adjustRightInd w:val="0"/>
              <w:snapToGrid w:val="0"/>
              <w:jc w:val="center"/>
              <w:rPr>
                <w:rFonts w:ascii="宋体" w:hAnsi="宋体" w:eastAsia="宋体" w:cs="宋体"/>
                <w:bCs/>
                <w:kern w:val="0"/>
                <w:szCs w:val="21"/>
              </w:rPr>
            </w:pPr>
            <w:r>
              <w:rPr>
                <w:rFonts w:ascii="宋体" w:hAnsi="宋体" w:eastAsia="宋体" w:cs="宋体"/>
                <w:bCs/>
                <w:kern w:val="0"/>
                <w:szCs w:val="21"/>
              </w:rPr>
              <w:t>2025年</w:t>
            </w:r>
          </w:p>
          <w:p>
            <w:pPr>
              <w:widowControl/>
              <w:adjustRightInd w:val="0"/>
              <w:snapToGrid w:val="0"/>
              <w:ind w:firstLine="105" w:firstLineChars="50"/>
              <w:jc w:val="center"/>
              <w:rPr>
                <w:rFonts w:ascii="宋体" w:hAnsi="宋体" w:eastAsia="宋体" w:cs="宋体"/>
                <w:bCs/>
                <w:kern w:val="0"/>
                <w:szCs w:val="21"/>
              </w:rPr>
            </w:pPr>
            <w:r>
              <w:rPr>
                <w:rFonts w:ascii="宋体" w:hAnsi="宋体" w:eastAsia="宋体" w:cs="宋体"/>
                <w:bCs/>
                <w:kern w:val="0"/>
                <w:szCs w:val="21"/>
              </w:rPr>
              <w:t>目标值</w:t>
            </w:r>
          </w:p>
        </w:tc>
        <w:tc>
          <w:tcPr>
            <w:tcW w:w="598" w:type="pct"/>
            <w:vAlign w:val="center"/>
          </w:tcPr>
          <w:p>
            <w:pPr>
              <w:widowControl/>
              <w:adjustRightInd w:val="0"/>
              <w:snapToGrid w:val="0"/>
              <w:jc w:val="center"/>
              <w:rPr>
                <w:rFonts w:ascii="宋体" w:hAnsi="宋体" w:eastAsia="宋体" w:cs="宋体"/>
                <w:bCs/>
                <w:kern w:val="0"/>
                <w:szCs w:val="21"/>
              </w:rPr>
            </w:pPr>
            <w:r>
              <w:rPr>
                <w:rFonts w:hint="eastAsia" w:ascii="宋体" w:hAnsi="宋体" w:eastAsia="宋体" w:cs="宋体"/>
                <w:bCs/>
                <w:kern w:val="0"/>
                <w:szCs w:val="21"/>
              </w:rPr>
              <w:t>属性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550" w:type="pct"/>
            <w:vMerge w:val="restart"/>
            <w:vAlign w:val="center"/>
          </w:tcPr>
          <w:p>
            <w:pPr>
              <w:snapToGrid w:val="0"/>
              <w:ind w:left="-199"/>
              <w:jc w:val="center"/>
              <w:rPr>
                <w:rFonts w:ascii="宋体" w:hAnsi="宋体" w:eastAsia="宋体" w:cs="宋体"/>
                <w:kern w:val="0"/>
                <w:szCs w:val="21"/>
              </w:rPr>
            </w:pPr>
            <w:r>
              <w:rPr>
                <w:rFonts w:hint="eastAsia" w:ascii="宋体" w:hAnsi="宋体" w:eastAsia="宋体" w:cs="宋体"/>
                <w:kern w:val="0"/>
                <w:szCs w:val="21"/>
              </w:rPr>
              <w:t>农业</w:t>
            </w:r>
          </w:p>
          <w:p>
            <w:pPr>
              <w:snapToGrid w:val="0"/>
              <w:ind w:left="-199"/>
              <w:jc w:val="center"/>
              <w:rPr>
                <w:rFonts w:ascii="宋体" w:hAnsi="宋体" w:eastAsia="宋体" w:cs="宋体"/>
                <w:kern w:val="0"/>
                <w:szCs w:val="21"/>
              </w:rPr>
            </w:pPr>
            <w:r>
              <w:rPr>
                <w:rFonts w:hint="eastAsia" w:ascii="宋体" w:hAnsi="宋体" w:eastAsia="宋体" w:cs="宋体"/>
                <w:kern w:val="0"/>
                <w:szCs w:val="21"/>
              </w:rPr>
              <w:t>现代化</w:t>
            </w:r>
          </w:p>
        </w:tc>
        <w:tc>
          <w:tcPr>
            <w:tcW w:w="404" w:type="pct"/>
            <w:vAlign w:val="center"/>
          </w:tcPr>
          <w:p>
            <w:pPr>
              <w:widowControl/>
              <w:snapToGrid w:val="0"/>
              <w:jc w:val="center"/>
              <w:rPr>
                <w:rFonts w:ascii="宋体" w:hAnsi="宋体" w:eastAsia="宋体" w:cs="宋体"/>
                <w:kern w:val="0"/>
                <w:szCs w:val="21"/>
              </w:rPr>
            </w:pPr>
            <w:r>
              <w:rPr>
                <w:rFonts w:hint="eastAsia"/>
                <w:szCs w:val="21"/>
              </w:rPr>
              <w:t>1</w:t>
            </w:r>
          </w:p>
        </w:tc>
        <w:tc>
          <w:tcPr>
            <w:tcW w:w="1695" w:type="pct"/>
            <w:vAlign w:val="center"/>
          </w:tcPr>
          <w:p>
            <w:pPr>
              <w:widowControl/>
              <w:snapToGrid w:val="0"/>
              <w:jc w:val="left"/>
              <w:rPr>
                <w:rFonts w:ascii="宋体" w:hAnsi="宋体" w:eastAsia="宋体" w:cs="宋体"/>
                <w:kern w:val="0"/>
                <w:szCs w:val="21"/>
              </w:rPr>
            </w:pPr>
            <w:r>
              <w:rPr>
                <w:rFonts w:hint="eastAsia" w:ascii="宋体" w:hAnsi="宋体" w:eastAsia="宋体" w:cs="宋体"/>
                <w:kern w:val="0"/>
                <w:szCs w:val="21"/>
              </w:rPr>
              <w:t>农业总产值</w:t>
            </w:r>
          </w:p>
        </w:tc>
        <w:tc>
          <w:tcPr>
            <w:tcW w:w="477" w:type="pct"/>
            <w:vAlign w:val="center"/>
          </w:tcPr>
          <w:p>
            <w:pPr>
              <w:widowControl/>
              <w:snapToGrid w:val="0"/>
              <w:jc w:val="center"/>
              <w:rPr>
                <w:rFonts w:ascii="宋体" w:hAnsi="宋体" w:eastAsia="宋体" w:cs="宋体"/>
                <w:kern w:val="0"/>
                <w:szCs w:val="21"/>
              </w:rPr>
            </w:pPr>
            <w:r>
              <w:rPr>
                <w:rFonts w:hint="eastAsia" w:ascii="宋体" w:hAnsi="宋体" w:eastAsia="宋体" w:cs="宋体"/>
                <w:kern w:val="0"/>
                <w:szCs w:val="21"/>
              </w:rPr>
              <w:t>亿元</w:t>
            </w:r>
          </w:p>
        </w:tc>
        <w:tc>
          <w:tcPr>
            <w:tcW w:w="668" w:type="pct"/>
            <w:vAlign w:val="center"/>
          </w:tcPr>
          <w:p>
            <w:pPr>
              <w:widowControl/>
              <w:snapToGrid w:val="0"/>
              <w:jc w:val="center"/>
              <w:rPr>
                <w:rFonts w:ascii="宋体" w:hAnsi="宋体" w:eastAsia="宋体" w:cs="宋体"/>
                <w:kern w:val="0"/>
                <w:szCs w:val="21"/>
              </w:rPr>
            </w:pPr>
            <w:r>
              <w:rPr>
                <w:rFonts w:hint="eastAsia" w:ascii="宋体" w:hAnsi="宋体" w:eastAsia="宋体" w:cs="宋体"/>
                <w:kern w:val="0"/>
                <w:szCs w:val="21"/>
              </w:rPr>
              <w:t>8.8</w:t>
            </w:r>
          </w:p>
        </w:tc>
        <w:tc>
          <w:tcPr>
            <w:tcW w:w="608" w:type="pct"/>
            <w:vAlign w:val="center"/>
          </w:tcPr>
          <w:p>
            <w:pPr>
              <w:widowControl/>
              <w:snapToGrid w:val="0"/>
              <w:jc w:val="center"/>
              <w:rPr>
                <w:rFonts w:ascii="宋体" w:hAnsi="宋体" w:eastAsia="宋体" w:cs="宋体"/>
                <w:kern w:val="0"/>
                <w:szCs w:val="21"/>
              </w:rPr>
            </w:pPr>
            <w:r>
              <w:rPr>
                <w:rFonts w:hint="eastAsia" w:ascii="宋体" w:hAnsi="宋体" w:eastAsia="宋体" w:cs="宋体"/>
                <w:kern w:val="0"/>
                <w:szCs w:val="21"/>
              </w:rPr>
              <w:t>9.72</w:t>
            </w:r>
          </w:p>
        </w:tc>
        <w:tc>
          <w:tcPr>
            <w:tcW w:w="598" w:type="pct"/>
            <w:vAlign w:val="center"/>
          </w:tcPr>
          <w:p>
            <w:pPr>
              <w:widowControl/>
              <w:snapToGrid w:val="0"/>
              <w:jc w:val="center"/>
              <w:rPr>
                <w:rFonts w:ascii="宋体" w:hAnsi="宋体" w:eastAsia="宋体" w:cs="宋体"/>
                <w:kern w:val="0"/>
                <w:szCs w:val="21"/>
              </w:rPr>
            </w:pPr>
            <w:r>
              <w:rPr>
                <w:rFonts w:hint="eastAsia" w:ascii="宋体" w:hAnsi="宋体" w:eastAsia="宋体" w:cs="宋体"/>
                <w:kern w:val="0"/>
                <w:szCs w:val="21"/>
              </w:rPr>
              <w:t>预期性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550" w:type="pct"/>
            <w:vMerge w:val="continue"/>
            <w:vAlign w:val="center"/>
          </w:tcPr>
          <w:p>
            <w:pPr>
              <w:snapToGrid w:val="0"/>
              <w:ind w:left="-199" w:firstLine="369" w:firstLineChars="176"/>
              <w:jc w:val="center"/>
              <w:rPr>
                <w:rFonts w:ascii="宋体" w:hAnsi="宋体" w:eastAsia="宋体" w:cs="宋体"/>
                <w:kern w:val="0"/>
                <w:szCs w:val="21"/>
              </w:rPr>
            </w:pPr>
          </w:p>
        </w:tc>
        <w:tc>
          <w:tcPr>
            <w:tcW w:w="404" w:type="pct"/>
            <w:vAlign w:val="center"/>
          </w:tcPr>
          <w:p>
            <w:pPr>
              <w:widowControl/>
              <w:snapToGrid w:val="0"/>
              <w:jc w:val="center"/>
              <w:rPr>
                <w:szCs w:val="21"/>
              </w:rPr>
            </w:pPr>
            <w:r>
              <w:rPr>
                <w:rFonts w:hint="eastAsia"/>
                <w:szCs w:val="21"/>
              </w:rPr>
              <w:t>2</w:t>
            </w:r>
          </w:p>
        </w:tc>
        <w:tc>
          <w:tcPr>
            <w:tcW w:w="1695" w:type="pct"/>
            <w:vAlign w:val="center"/>
          </w:tcPr>
          <w:p>
            <w:pPr>
              <w:widowControl/>
              <w:snapToGrid w:val="0"/>
              <w:jc w:val="left"/>
              <w:rPr>
                <w:rFonts w:ascii="宋体" w:hAnsi="宋体" w:eastAsia="宋体" w:cs="宋体"/>
                <w:kern w:val="0"/>
                <w:szCs w:val="21"/>
              </w:rPr>
            </w:pPr>
            <w:r>
              <w:rPr>
                <w:rFonts w:hint="eastAsia" w:ascii="宋体" w:hAnsi="宋体" w:eastAsia="宋体" w:cs="宋体"/>
                <w:kern w:val="0"/>
                <w:szCs w:val="21"/>
              </w:rPr>
              <w:t>粮食综合生产能力</w:t>
            </w:r>
          </w:p>
        </w:tc>
        <w:tc>
          <w:tcPr>
            <w:tcW w:w="477" w:type="pct"/>
            <w:vAlign w:val="center"/>
          </w:tcPr>
          <w:p>
            <w:pPr>
              <w:widowControl/>
              <w:snapToGrid w:val="0"/>
              <w:jc w:val="center"/>
              <w:rPr>
                <w:rFonts w:ascii="宋体" w:hAnsi="宋体" w:eastAsia="宋体" w:cs="宋体"/>
                <w:kern w:val="0"/>
                <w:szCs w:val="21"/>
              </w:rPr>
            </w:pPr>
            <w:r>
              <w:rPr>
                <w:rFonts w:hint="eastAsia" w:ascii="宋体" w:hAnsi="宋体" w:eastAsia="宋体" w:cs="宋体"/>
                <w:kern w:val="0"/>
                <w:szCs w:val="21"/>
              </w:rPr>
              <w:t>万吨</w:t>
            </w:r>
          </w:p>
        </w:tc>
        <w:tc>
          <w:tcPr>
            <w:tcW w:w="668" w:type="pct"/>
            <w:vAlign w:val="center"/>
          </w:tcPr>
          <w:p>
            <w:pPr>
              <w:widowControl/>
              <w:snapToGrid w:val="0"/>
              <w:jc w:val="center"/>
              <w:rPr>
                <w:rFonts w:ascii="宋体" w:hAnsi="宋体" w:eastAsia="宋体" w:cs="宋体"/>
                <w:kern w:val="0"/>
                <w:szCs w:val="21"/>
              </w:rPr>
            </w:pPr>
            <w:r>
              <w:rPr>
                <w:rFonts w:hint="eastAsia" w:ascii="宋体" w:hAnsi="宋体" w:eastAsia="宋体" w:cs="宋体"/>
                <w:kern w:val="0"/>
                <w:szCs w:val="21"/>
              </w:rPr>
              <w:t>2.23</w:t>
            </w:r>
          </w:p>
        </w:tc>
        <w:tc>
          <w:tcPr>
            <w:tcW w:w="608" w:type="pct"/>
            <w:vAlign w:val="center"/>
          </w:tcPr>
          <w:p>
            <w:pPr>
              <w:widowControl/>
              <w:snapToGrid w:val="0"/>
              <w:jc w:val="center"/>
              <w:rPr>
                <w:rFonts w:ascii="宋体" w:hAnsi="宋体" w:eastAsia="宋体" w:cs="宋体"/>
                <w:kern w:val="0"/>
                <w:szCs w:val="21"/>
              </w:rPr>
            </w:pPr>
            <w:r>
              <w:rPr>
                <w:rFonts w:hint="eastAsia" w:ascii="宋体" w:hAnsi="宋体" w:eastAsia="宋体" w:cs="宋体"/>
                <w:kern w:val="0"/>
                <w:szCs w:val="21"/>
              </w:rPr>
              <w:t>2.3</w:t>
            </w:r>
          </w:p>
        </w:tc>
        <w:tc>
          <w:tcPr>
            <w:tcW w:w="598" w:type="pct"/>
            <w:vAlign w:val="center"/>
          </w:tcPr>
          <w:p>
            <w:pPr>
              <w:widowControl/>
              <w:snapToGrid w:val="0"/>
              <w:jc w:val="center"/>
              <w:rPr>
                <w:rFonts w:ascii="宋体" w:hAnsi="宋体" w:eastAsia="宋体" w:cs="宋体"/>
                <w:kern w:val="0"/>
                <w:szCs w:val="21"/>
              </w:rPr>
            </w:pPr>
            <w:r>
              <w:rPr>
                <w:rFonts w:hint="eastAsia" w:ascii="宋体" w:hAnsi="宋体" w:eastAsia="宋体" w:cs="宋体"/>
                <w:kern w:val="0"/>
                <w:szCs w:val="21"/>
              </w:rPr>
              <w:t>约束性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550" w:type="pct"/>
            <w:vMerge w:val="continue"/>
            <w:vAlign w:val="center"/>
          </w:tcPr>
          <w:p>
            <w:pPr>
              <w:snapToGrid w:val="0"/>
              <w:ind w:left="-199" w:firstLine="369" w:firstLineChars="176"/>
              <w:jc w:val="center"/>
              <w:rPr>
                <w:rFonts w:ascii="宋体" w:hAnsi="宋体" w:eastAsia="宋体" w:cs="宋体"/>
                <w:kern w:val="0"/>
                <w:szCs w:val="21"/>
              </w:rPr>
            </w:pPr>
          </w:p>
        </w:tc>
        <w:tc>
          <w:tcPr>
            <w:tcW w:w="404" w:type="pct"/>
            <w:vAlign w:val="center"/>
          </w:tcPr>
          <w:p>
            <w:pPr>
              <w:widowControl/>
              <w:snapToGrid w:val="0"/>
              <w:jc w:val="center"/>
              <w:rPr>
                <w:szCs w:val="21"/>
              </w:rPr>
            </w:pPr>
            <w:r>
              <w:rPr>
                <w:rFonts w:hint="eastAsia"/>
                <w:szCs w:val="21"/>
              </w:rPr>
              <w:t>3</w:t>
            </w:r>
          </w:p>
        </w:tc>
        <w:tc>
          <w:tcPr>
            <w:tcW w:w="1695" w:type="pct"/>
            <w:vAlign w:val="center"/>
          </w:tcPr>
          <w:p>
            <w:pPr>
              <w:widowControl/>
              <w:snapToGrid w:val="0"/>
              <w:jc w:val="left"/>
              <w:rPr>
                <w:rFonts w:ascii="宋体" w:hAnsi="宋体" w:eastAsia="宋体" w:cs="宋体"/>
                <w:kern w:val="0"/>
                <w:szCs w:val="21"/>
              </w:rPr>
            </w:pPr>
            <w:r>
              <w:rPr>
                <w:rFonts w:hint="eastAsia" w:ascii="宋体" w:hAnsi="宋体" w:cs="宋体"/>
                <w:kern w:val="0"/>
                <w:szCs w:val="21"/>
              </w:rPr>
              <w:t>农业劳动生产率</w:t>
            </w:r>
          </w:p>
        </w:tc>
        <w:tc>
          <w:tcPr>
            <w:tcW w:w="477" w:type="pct"/>
            <w:vAlign w:val="center"/>
          </w:tcPr>
          <w:p>
            <w:pPr>
              <w:widowControl/>
              <w:snapToGrid w:val="0"/>
              <w:ind w:left="-199" w:leftChars="-95" w:firstLine="210" w:firstLineChars="100"/>
              <w:jc w:val="center"/>
              <w:rPr>
                <w:rFonts w:ascii="宋体" w:hAnsi="宋体" w:eastAsia="宋体" w:cs="宋体"/>
                <w:kern w:val="0"/>
                <w:szCs w:val="21"/>
              </w:rPr>
            </w:pPr>
            <w:r>
              <w:rPr>
                <w:rFonts w:hint="eastAsia" w:ascii="宋体" w:hAnsi="宋体" w:cs="宋体"/>
                <w:kern w:val="0"/>
                <w:szCs w:val="21"/>
              </w:rPr>
              <w:t>元/人</w:t>
            </w:r>
          </w:p>
        </w:tc>
        <w:tc>
          <w:tcPr>
            <w:tcW w:w="668" w:type="pct"/>
            <w:vAlign w:val="center"/>
          </w:tcPr>
          <w:p>
            <w:pPr>
              <w:widowControl/>
              <w:snapToGrid w:val="0"/>
              <w:jc w:val="center"/>
              <w:rPr>
                <w:rFonts w:ascii="宋体" w:hAnsi="宋体" w:cs="宋体"/>
                <w:kern w:val="0"/>
                <w:szCs w:val="21"/>
              </w:rPr>
            </w:pPr>
            <w:r>
              <w:rPr>
                <w:rFonts w:hint="eastAsia" w:ascii="宋体" w:hAnsi="宋体" w:cs="宋体"/>
                <w:kern w:val="0"/>
                <w:szCs w:val="21"/>
              </w:rPr>
              <w:t>145281</w:t>
            </w:r>
          </w:p>
        </w:tc>
        <w:tc>
          <w:tcPr>
            <w:tcW w:w="608" w:type="pct"/>
            <w:vAlign w:val="center"/>
          </w:tcPr>
          <w:p>
            <w:pPr>
              <w:widowControl/>
              <w:snapToGrid w:val="0"/>
              <w:jc w:val="center"/>
              <w:rPr>
                <w:rFonts w:ascii="宋体" w:hAnsi="宋体" w:eastAsia="宋体" w:cs="宋体"/>
                <w:kern w:val="0"/>
                <w:szCs w:val="21"/>
              </w:rPr>
            </w:pPr>
            <w:r>
              <w:rPr>
                <w:rFonts w:hint="eastAsia" w:ascii="宋体" w:hAnsi="宋体" w:eastAsia="宋体" w:cs="宋体"/>
                <w:kern w:val="0"/>
                <w:szCs w:val="21"/>
              </w:rPr>
              <w:t>160401</w:t>
            </w:r>
          </w:p>
        </w:tc>
        <w:tc>
          <w:tcPr>
            <w:tcW w:w="598" w:type="pct"/>
            <w:vAlign w:val="center"/>
          </w:tcPr>
          <w:p>
            <w:pPr>
              <w:widowControl/>
              <w:snapToGrid w:val="0"/>
              <w:jc w:val="center"/>
              <w:rPr>
                <w:rFonts w:ascii="宋体" w:hAnsi="宋体" w:eastAsia="宋体" w:cs="宋体"/>
                <w:kern w:val="0"/>
                <w:szCs w:val="21"/>
              </w:rPr>
            </w:pPr>
            <w:r>
              <w:rPr>
                <w:rFonts w:hint="eastAsia" w:ascii="宋体" w:hAnsi="宋体" w:eastAsia="宋体" w:cs="宋体"/>
                <w:kern w:val="0"/>
                <w:szCs w:val="21"/>
              </w:rPr>
              <w:t>预期性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550" w:type="pct"/>
            <w:vMerge w:val="continue"/>
            <w:vAlign w:val="center"/>
          </w:tcPr>
          <w:p>
            <w:pPr>
              <w:snapToGrid w:val="0"/>
              <w:ind w:left="-199" w:firstLine="369" w:firstLineChars="176"/>
              <w:jc w:val="center"/>
              <w:rPr>
                <w:rFonts w:ascii="宋体" w:hAnsi="宋体" w:eastAsia="宋体" w:cs="宋体"/>
                <w:kern w:val="0"/>
                <w:szCs w:val="21"/>
              </w:rPr>
            </w:pPr>
          </w:p>
        </w:tc>
        <w:tc>
          <w:tcPr>
            <w:tcW w:w="404" w:type="pct"/>
            <w:vAlign w:val="center"/>
          </w:tcPr>
          <w:p>
            <w:pPr>
              <w:widowControl/>
              <w:snapToGrid w:val="0"/>
              <w:jc w:val="center"/>
              <w:rPr>
                <w:szCs w:val="21"/>
              </w:rPr>
            </w:pPr>
            <w:r>
              <w:rPr>
                <w:rFonts w:hint="eastAsia"/>
                <w:szCs w:val="21"/>
              </w:rPr>
              <w:t>4</w:t>
            </w:r>
          </w:p>
        </w:tc>
        <w:tc>
          <w:tcPr>
            <w:tcW w:w="1695" w:type="pct"/>
            <w:vAlign w:val="center"/>
          </w:tcPr>
          <w:p>
            <w:pPr>
              <w:widowControl/>
              <w:snapToGrid w:val="0"/>
              <w:jc w:val="left"/>
              <w:rPr>
                <w:rFonts w:ascii="宋体" w:hAnsi="宋体" w:eastAsia="宋体" w:cs="宋体"/>
                <w:kern w:val="0"/>
                <w:szCs w:val="21"/>
              </w:rPr>
            </w:pPr>
            <w:r>
              <w:rPr>
                <w:rFonts w:hint="eastAsia" w:ascii="宋体" w:hAnsi="宋体" w:eastAsia="宋体" w:cs="宋体"/>
                <w:kern w:val="0"/>
                <w:szCs w:val="21"/>
              </w:rPr>
              <w:t>设施农业面积</w:t>
            </w:r>
          </w:p>
        </w:tc>
        <w:tc>
          <w:tcPr>
            <w:tcW w:w="477" w:type="pct"/>
            <w:vAlign w:val="center"/>
          </w:tcPr>
          <w:p>
            <w:pPr>
              <w:widowControl/>
              <w:snapToGrid w:val="0"/>
              <w:jc w:val="center"/>
              <w:rPr>
                <w:rFonts w:ascii="宋体" w:hAnsi="宋体" w:eastAsia="宋体" w:cs="宋体"/>
                <w:kern w:val="0"/>
                <w:szCs w:val="21"/>
              </w:rPr>
            </w:pPr>
            <w:r>
              <w:rPr>
                <w:rFonts w:hint="eastAsia" w:ascii="宋体" w:hAnsi="宋体" w:eastAsia="宋体" w:cs="宋体"/>
                <w:kern w:val="0"/>
                <w:szCs w:val="21"/>
              </w:rPr>
              <w:t>万亩</w:t>
            </w:r>
          </w:p>
        </w:tc>
        <w:tc>
          <w:tcPr>
            <w:tcW w:w="668" w:type="pct"/>
            <w:vAlign w:val="center"/>
          </w:tcPr>
          <w:p>
            <w:pPr>
              <w:widowControl/>
              <w:snapToGrid w:val="0"/>
              <w:jc w:val="center"/>
              <w:rPr>
                <w:rFonts w:ascii="宋体" w:hAnsi="宋体" w:cs="宋体"/>
                <w:kern w:val="0"/>
                <w:szCs w:val="21"/>
              </w:rPr>
            </w:pPr>
            <w:r>
              <w:rPr>
                <w:rFonts w:hint="eastAsia" w:ascii="宋体" w:hAnsi="宋体" w:cs="宋体"/>
                <w:kern w:val="0"/>
                <w:szCs w:val="21"/>
              </w:rPr>
              <w:t>1.5</w:t>
            </w:r>
          </w:p>
        </w:tc>
        <w:tc>
          <w:tcPr>
            <w:tcW w:w="608" w:type="pct"/>
            <w:vAlign w:val="center"/>
          </w:tcPr>
          <w:p>
            <w:pPr>
              <w:widowControl/>
              <w:snapToGrid w:val="0"/>
              <w:jc w:val="center"/>
              <w:rPr>
                <w:rFonts w:ascii="宋体" w:hAnsi="宋体" w:cs="宋体"/>
                <w:kern w:val="0"/>
                <w:szCs w:val="21"/>
              </w:rPr>
            </w:pPr>
            <w:r>
              <w:rPr>
                <w:rFonts w:hint="eastAsia" w:ascii="宋体" w:hAnsi="宋体" w:cs="宋体"/>
                <w:kern w:val="0"/>
                <w:szCs w:val="21"/>
              </w:rPr>
              <w:t>2</w:t>
            </w:r>
          </w:p>
        </w:tc>
        <w:tc>
          <w:tcPr>
            <w:tcW w:w="598" w:type="pct"/>
            <w:vAlign w:val="center"/>
          </w:tcPr>
          <w:p>
            <w:pPr>
              <w:widowControl/>
              <w:snapToGrid w:val="0"/>
              <w:jc w:val="center"/>
              <w:rPr>
                <w:rFonts w:ascii="宋体" w:hAnsi="宋体" w:eastAsia="宋体" w:cs="宋体"/>
                <w:kern w:val="0"/>
                <w:szCs w:val="21"/>
              </w:rPr>
            </w:pPr>
            <w:r>
              <w:rPr>
                <w:rFonts w:hint="eastAsia" w:ascii="宋体" w:hAnsi="宋体" w:eastAsia="宋体" w:cs="宋体"/>
                <w:kern w:val="0"/>
                <w:szCs w:val="21"/>
              </w:rPr>
              <w:t>预期性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550" w:type="pct"/>
            <w:vMerge w:val="continue"/>
            <w:vAlign w:val="center"/>
          </w:tcPr>
          <w:p>
            <w:pPr>
              <w:snapToGrid w:val="0"/>
              <w:ind w:left="-199" w:firstLine="369" w:firstLineChars="176"/>
              <w:jc w:val="center"/>
              <w:rPr>
                <w:rFonts w:ascii="宋体" w:hAnsi="宋体" w:eastAsia="宋体" w:cs="宋体"/>
                <w:kern w:val="0"/>
                <w:szCs w:val="21"/>
              </w:rPr>
            </w:pPr>
          </w:p>
        </w:tc>
        <w:tc>
          <w:tcPr>
            <w:tcW w:w="404" w:type="pct"/>
            <w:vAlign w:val="center"/>
          </w:tcPr>
          <w:p>
            <w:pPr>
              <w:widowControl/>
              <w:snapToGrid w:val="0"/>
              <w:jc w:val="center"/>
              <w:rPr>
                <w:szCs w:val="21"/>
              </w:rPr>
            </w:pPr>
            <w:r>
              <w:rPr>
                <w:rFonts w:hint="eastAsia"/>
                <w:szCs w:val="21"/>
              </w:rPr>
              <w:t>5</w:t>
            </w:r>
          </w:p>
        </w:tc>
        <w:tc>
          <w:tcPr>
            <w:tcW w:w="1695" w:type="pct"/>
            <w:vAlign w:val="center"/>
          </w:tcPr>
          <w:p>
            <w:pPr>
              <w:widowControl/>
              <w:snapToGrid w:val="0"/>
              <w:jc w:val="left"/>
              <w:rPr>
                <w:rFonts w:ascii="宋体" w:hAnsi="宋体" w:eastAsia="宋体" w:cs="宋体"/>
                <w:kern w:val="0"/>
                <w:szCs w:val="21"/>
              </w:rPr>
            </w:pPr>
            <w:r>
              <w:rPr>
                <w:rFonts w:hint="eastAsia" w:ascii="宋体" w:hAnsi="宋体" w:eastAsia="宋体" w:cs="宋体"/>
                <w:kern w:val="0"/>
                <w:szCs w:val="21"/>
              </w:rPr>
              <w:t>新增落地蔬菜或经济作物面积</w:t>
            </w:r>
          </w:p>
        </w:tc>
        <w:tc>
          <w:tcPr>
            <w:tcW w:w="477" w:type="pct"/>
            <w:vAlign w:val="center"/>
          </w:tcPr>
          <w:p>
            <w:pPr>
              <w:widowControl/>
              <w:snapToGrid w:val="0"/>
              <w:jc w:val="center"/>
              <w:rPr>
                <w:rFonts w:ascii="宋体" w:hAnsi="宋体" w:eastAsia="宋体" w:cs="宋体"/>
                <w:kern w:val="0"/>
                <w:szCs w:val="21"/>
              </w:rPr>
            </w:pPr>
            <w:r>
              <w:rPr>
                <w:rFonts w:hint="eastAsia" w:ascii="宋体" w:hAnsi="宋体" w:eastAsia="宋体" w:cs="宋体"/>
                <w:kern w:val="0"/>
                <w:szCs w:val="21"/>
              </w:rPr>
              <w:t>万亩</w:t>
            </w:r>
          </w:p>
        </w:tc>
        <w:tc>
          <w:tcPr>
            <w:tcW w:w="668" w:type="pct"/>
            <w:vAlign w:val="center"/>
          </w:tcPr>
          <w:p>
            <w:pPr>
              <w:widowControl/>
              <w:snapToGrid w:val="0"/>
              <w:jc w:val="center"/>
              <w:rPr>
                <w:rFonts w:ascii="宋体" w:hAnsi="宋体" w:cs="宋体"/>
                <w:kern w:val="0"/>
                <w:szCs w:val="21"/>
              </w:rPr>
            </w:pPr>
            <w:r>
              <w:rPr>
                <w:rFonts w:hint="eastAsia" w:ascii="宋体" w:hAnsi="宋体" w:cs="宋体"/>
                <w:kern w:val="0"/>
                <w:szCs w:val="21"/>
              </w:rPr>
              <w:t>-</w:t>
            </w:r>
          </w:p>
        </w:tc>
        <w:tc>
          <w:tcPr>
            <w:tcW w:w="608" w:type="pct"/>
            <w:vAlign w:val="center"/>
          </w:tcPr>
          <w:p>
            <w:pPr>
              <w:widowControl/>
              <w:snapToGrid w:val="0"/>
              <w:jc w:val="center"/>
              <w:rPr>
                <w:rFonts w:ascii="宋体" w:hAnsi="宋体" w:cs="宋体"/>
                <w:kern w:val="0"/>
                <w:szCs w:val="21"/>
              </w:rPr>
            </w:pPr>
            <w:r>
              <w:rPr>
                <w:rFonts w:hint="eastAsia" w:ascii="宋体" w:hAnsi="宋体" w:cs="宋体"/>
                <w:kern w:val="0"/>
                <w:szCs w:val="21"/>
              </w:rPr>
              <w:t>0.5</w:t>
            </w:r>
          </w:p>
        </w:tc>
        <w:tc>
          <w:tcPr>
            <w:tcW w:w="598" w:type="pct"/>
            <w:vAlign w:val="center"/>
          </w:tcPr>
          <w:p>
            <w:pPr>
              <w:widowControl/>
              <w:snapToGrid w:val="0"/>
              <w:jc w:val="center"/>
              <w:rPr>
                <w:rFonts w:ascii="宋体" w:hAnsi="宋体" w:eastAsia="宋体" w:cs="宋体"/>
                <w:kern w:val="0"/>
                <w:szCs w:val="21"/>
              </w:rPr>
            </w:pPr>
            <w:r>
              <w:rPr>
                <w:rFonts w:hint="eastAsia" w:ascii="宋体" w:hAnsi="宋体" w:eastAsia="宋体" w:cs="宋体"/>
                <w:kern w:val="0"/>
                <w:szCs w:val="21"/>
              </w:rPr>
              <w:t>预期性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550" w:type="pct"/>
            <w:vMerge w:val="continue"/>
            <w:vAlign w:val="center"/>
          </w:tcPr>
          <w:p>
            <w:pPr>
              <w:snapToGrid w:val="0"/>
              <w:ind w:left="-199" w:firstLine="369" w:firstLineChars="176"/>
              <w:jc w:val="center"/>
              <w:rPr>
                <w:rFonts w:ascii="宋体" w:hAnsi="宋体" w:eastAsia="宋体" w:cs="宋体"/>
                <w:kern w:val="0"/>
                <w:szCs w:val="21"/>
              </w:rPr>
            </w:pPr>
          </w:p>
        </w:tc>
        <w:tc>
          <w:tcPr>
            <w:tcW w:w="404" w:type="pct"/>
            <w:vAlign w:val="center"/>
          </w:tcPr>
          <w:p>
            <w:pPr>
              <w:widowControl/>
              <w:snapToGrid w:val="0"/>
              <w:jc w:val="center"/>
              <w:rPr>
                <w:szCs w:val="21"/>
              </w:rPr>
            </w:pPr>
            <w:r>
              <w:rPr>
                <w:rFonts w:hint="eastAsia"/>
                <w:szCs w:val="21"/>
              </w:rPr>
              <w:t>6</w:t>
            </w:r>
          </w:p>
        </w:tc>
        <w:tc>
          <w:tcPr>
            <w:tcW w:w="1695" w:type="pct"/>
            <w:vAlign w:val="center"/>
          </w:tcPr>
          <w:p>
            <w:pPr>
              <w:widowControl/>
              <w:snapToGrid w:val="0"/>
              <w:jc w:val="left"/>
              <w:rPr>
                <w:rFonts w:ascii="宋体" w:hAnsi="宋体" w:eastAsia="宋体" w:cs="宋体"/>
                <w:kern w:val="0"/>
                <w:szCs w:val="21"/>
              </w:rPr>
            </w:pPr>
            <w:r>
              <w:rPr>
                <w:rFonts w:hint="eastAsia" w:ascii="宋体" w:hAnsi="宋体" w:eastAsia="宋体" w:cs="宋体"/>
                <w:kern w:val="0"/>
                <w:szCs w:val="21"/>
              </w:rPr>
              <w:t>新增小站稻种植面积</w:t>
            </w:r>
          </w:p>
        </w:tc>
        <w:tc>
          <w:tcPr>
            <w:tcW w:w="477" w:type="pct"/>
            <w:vAlign w:val="center"/>
          </w:tcPr>
          <w:p>
            <w:pPr>
              <w:widowControl/>
              <w:snapToGrid w:val="0"/>
              <w:jc w:val="center"/>
              <w:rPr>
                <w:rFonts w:ascii="宋体" w:hAnsi="宋体" w:eastAsia="宋体" w:cs="宋体"/>
                <w:kern w:val="0"/>
                <w:szCs w:val="21"/>
              </w:rPr>
            </w:pPr>
            <w:r>
              <w:rPr>
                <w:rFonts w:hint="eastAsia" w:ascii="宋体" w:hAnsi="宋体" w:eastAsia="宋体" w:cs="宋体"/>
                <w:kern w:val="0"/>
                <w:szCs w:val="21"/>
              </w:rPr>
              <w:t>万亩</w:t>
            </w:r>
          </w:p>
        </w:tc>
        <w:tc>
          <w:tcPr>
            <w:tcW w:w="668" w:type="pct"/>
            <w:vAlign w:val="center"/>
          </w:tcPr>
          <w:p>
            <w:pPr>
              <w:widowControl/>
              <w:snapToGrid w:val="0"/>
              <w:jc w:val="center"/>
              <w:rPr>
                <w:rFonts w:ascii="宋体" w:hAnsi="宋体" w:eastAsia="宋体" w:cs="宋体"/>
                <w:kern w:val="0"/>
                <w:szCs w:val="21"/>
              </w:rPr>
            </w:pPr>
            <w:r>
              <w:rPr>
                <w:rFonts w:hint="eastAsia" w:ascii="宋体" w:hAnsi="宋体" w:eastAsia="宋体" w:cs="宋体"/>
                <w:kern w:val="0"/>
                <w:szCs w:val="21"/>
              </w:rPr>
              <w:t>0</w:t>
            </w:r>
          </w:p>
        </w:tc>
        <w:tc>
          <w:tcPr>
            <w:tcW w:w="608" w:type="pct"/>
            <w:vAlign w:val="center"/>
          </w:tcPr>
          <w:p>
            <w:pPr>
              <w:widowControl/>
              <w:snapToGrid w:val="0"/>
              <w:jc w:val="center"/>
              <w:rPr>
                <w:rFonts w:ascii="宋体" w:hAnsi="宋体" w:eastAsia="宋体" w:cs="宋体"/>
                <w:kern w:val="0"/>
                <w:szCs w:val="21"/>
              </w:rPr>
            </w:pPr>
            <w:r>
              <w:rPr>
                <w:rFonts w:hint="eastAsia" w:ascii="宋体" w:hAnsi="宋体" w:eastAsia="宋体" w:cs="宋体"/>
                <w:kern w:val="0"/>
                <w:szCs w:val="21"/>
              </w:rPr>
              <w:t>0.8</w:t>
            </w:r>
          </w:p>
        </w:tc>
        <w:tc>
          <w:tcPr>
            <w:tcW w:w="598" w:type="pct"/>
            <w:vAlign w:val="center"/>
          </w:tcPr>
          <w:p>
            <w:pPr>
              <w:widowControl/>
              <w:snapToGrid w:val="0"/>
              <w:jc w:val="center"/>
              <w:rPr>
                <w:rFonts w:ascii="宋体" w:hAnsi="宋体" w:eastAsia="宋体" w:cs="宋体"/>
                <w:kern w:val="0"/>
                <w:szCs w:val="21"/>
              </w:rPr>
            </w:pPr>
            <w:r>
              <w:rPr>
                <w:rFonts w:hint="eastAsia" w:ascii="宋体" w:hAnsi="宋体" w:eastAsia="宋体" w:cs="宋体"/>
                <w:kern w:val="0"/>
                <w:szCs w:val="21"/>
              </w:rPr>
              <w:t>预期性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550" w:type="pct"/>
            <w:vMerge w:val="continue"/>
            <w:vAlign w:val="center"/>
          </w:tcPr>
          <w:p>
            <w:pPr>
              <w:widowControl/>
              <w:snapToGrid w:val="0"/>
              <w:ind w:left="-199" w:firstLine="369" w:firstLineChars="176"/>
              <w:jc w:val="center"/>
              <w:rPr>
                <w:rFonts w:ascii="宋体" w:hAnsi="宋体" w:eastAsia="宋体" w:cs="宋体"/>
                <w:kern w:val="0"/>
                <w:szCs w:val="21"/>
              </w:rPr>
            </w:pPr>
          </w:p>
        </w:tc>
        <w:tc>
          <w:tcPr>
            <w:tcW w:w="404" w:type="pct"/>
            <w:vAlign w:val="center"/>
          </w:tcPr>
          <w:p>
            <w:pPr>
              <w:widowControl/>
              <w:snapToGrid w:val="0"/>
              <w:jc w:val="center"/>
              <w:rPr>
                <w:szCs w:val="21"/>
              </w:rPr>
            </w:pPr>
            <w:r>
              <w:rPr>
                <w:szCs w:val="21"/>
              </w:rPr>
              <w:t>7</w:t>
            </w:r>
          </w:p>
        </w:tc>
        <w:tc>
          <w:tcPr>
            <w:tcW w:w="1695" w:type="pct"/>
            <w:vAlign w:val="center"/>
          </w:tcPr>
          <w:p>
            <w:pPr>
              <w:widowControl/>
              <w:snapToGrid w:val="0"/>
              <w:jc w:val="left"/>
              <w:rPr>
                <w:rFonts w:ascii="宋体" w:hAnsi="宋体" w:eastAsia="宋体" w:cs="宋体"/>
                <w:kern w:val="0"/>
                <w:szCs w:val="21"/>
              </w:rPr>
            </w:pPr>
            <w:r>
              <w:rPr>
                <w:rFonts w:hint="eastAsia" w:ascii="宋体" w:hAnsi="宋体" w:eastAsia="宋体" w:cs="宋体"/>
                <w:kern w:val="0"/>
                <w:szCs w:val="21"/>
              </w:rPr>
              <w:t>新建高标准农田面积</w:t>
            </w:r>
          </w:p>
        </w:tc>
        <w:tc>
          <w:tcPr>
            <w:tcW w:w="477" w:type="pct"/>
            <w:vAlign w:val="center"/>
          </w:tcPr>
          <w:p>
            <w:pPr>
              <w:widowControl/>
              <w:snapToGrid w:val="0"/>
              <w:jc w:val="center"/>
              <w:rPr>
                <w:rFonts w:ascii="宋体" w:hAnsi="宋体" w:eastAsia="宋体" w:cs="宋体"/>
                <w:kern w:val="0"/>
                <w:szCs w:val="21"/>
              </w:rPr>
            </w:pPr>
            <w:r>
              <w:rPr>
                <w:rFonts w:hint="eastAsia" w:ascii="宋体" w:hAnsi="宋体" w:eastAsia="宋体" w:cs="宋体"/>
                <w:kern w:val="0"/>
                <w:szCs w:val="21"/>
              </w:rPr>
              <w:t>万亩</w:t>
            </w:r>
          </w:p>
        </w:tc>
        <w:tc>
          <w:tcPr>
            <w:tcW w:w="668" w:type="pct"/>
            <w:vAlign w:val="center"/>
          </w:tcPr>
          <w:p>
            <w:pPr>
              <w:widowControl/>
              <w:snapToGrid w:val="0"/>
              <w:jc w:val="center"/>
              <w:rPr>
                <w:rFonts w:ascii="宋体" w:hAnsi="宋体" w:eastAsia="宋体" w:cs="宋体"/>
                <w:kern w:val="0"/>
                <w:szCs w:val="21"/>
              </w:rPr>
            </w:pPr>
            <w:r>
              <w:rPr>
                <w:rFonts w:hint="eastAsia" w:ascii="宋体" w:hAnsi="宋体" w:eastAsia="宋体" w:cs="宋体"/>
                <w:kern w:val="0"/>
                <w:szCs w:val="21"/>
              </w:rPr>
              <w:t>1.26</w:t>
            </w:r>
          </w:p>
        </w:tc>
        <w:tc>
          <w:tcPr>
            <w:tcW w:w="608" w:type="pct"/>
            <w:vAlign w:val="center"/>
          </w:tcPr>
          <w:p>
            <w:pPr>
              <w:widowControl/>
              <w:snapToGrid w:val="0"/>
              <w:jc w:val="center"/>
              <w:rPr>
                <w:rFonts w:ascii="宋体" w:hAnsi="宋体" w:eastAsia="宋体" w:cs="宋体"/>
                <w:kern w:val="0"/>
                <w:szCs w:val="21"/>
              </w:rPr>
            </w:pPr>
            <w:r>
              <w:rPr>
                <w:rFonts w:hint="eastAsia" w:ascii="宋体" w:hAnsi="宋体" w:eastAsia="宋体" w:cs="宋体"/>
                <w:kern w:val="0"/>
                <w:szCs w:val="21"/>
              </w:rPr>
              <w:t>2</w:t>
            </w:r>
          </w:p>
        </w:tc>
        <w:tc>
          <w:tcPr>
            <w:tcW w:w="598" w:type="pct"/>
            <w:vAlign w:val="center"/>
          </w:tcPr>
          <w:p>
            <w:pPr>
              <w:widowControl/>
              <w:snapToGrid w:val="0"/>
              <w:jc w:val="center"/>
              <w:rPr>
                <w:rFonts w:ascii="宋体" w:hAnsi="宋体" w:eastAsia="宋体" w:cs="宋体"/>
                <w:kern w:val="0"/>
                <w:szCs w:val="21"/>
              </w:rPr>
            </w:pPr>
            <w:r>
              <w:rPr>
                <w:rFonts w:hint="eastAsia" w:ascii="宋体" w:hAnsi="宋体" w:eastAsia="宋体" w:cs="宋体"/>
                <w:kern w:val="0"/>
                <w:szCs w:val="21"/>
              </w:rPr>
              <w:t>预期性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550" w:type="pct"/>
            <w:vMerge w:val="continue"/>
            <w:vAlign w:val="center"/>
          </w:tcPr>
          <w:p>
            <w:pPr>
              <w:widowControl/>
              <w:snapToGrid w:val="0"/>
              <w:ind w:left="-199" w:firstLine="369" w:firstLineChars="176"/>
              <w:jc w:val="center"/>
              <w:rPr>
                <w:rFonts w:ascii="宋体" w:hAnsi="宋体" w:eastAsia="宋体" w:cs="宋体"/>
                <w:kern w:val="0"/>
                <w:szCs w:val="21"/>
              </w:rPr>
            </w:pPr>
          </w:p>
        </w:tc>
        <w:tc>
          <w:tcPr>
            <w:tcW w:w="404" w:type="pct"/>
            <w:vAlign w:val="center"/>
          </w:tcPr>
          <w:p>
            <w:pPr>
              <w:widowControl/>
              <w:snapToGrid w:val="0"/>
              <w:jc w:val="center"/>
              <w:rPr>
                <w:szCs w:val="21"/>
              </w:rPr>
            </w:pPr>
            <w:r>
              <w:rPr>
                <w:rFonts w:hint="eastAsia"/>
                <w:szCs w:val="21"/>
              </w:rPr>
              <w:t>8</w:t>
            </w:r>
          </w:p>
        </w:tc>
        <w:tc>
          <w:tcPr>
            <w:tcW w:w="1695" w:type="pct"/>
            <w:vAlign w:val="center"/>
          </w:tcPr>
          <w:p>
            <w:pPr>
              <w:widowControl/>
              <w:snapToGrid w:val="0"/>
              <w:jc w:val="left"/>
              <w:rPr>
                <w:rFonts w:ascii="宋体" w:hAnsi="宋体" w:eastAsia="宋体" w:cs="宋体"/>
                <w:kern w:val="0"/>
                <w:szCs w:val="21"/>
              </w:rPr>
            </w:pPr>
            <w:r>
              <w:rPr>
                <w:rFonts w:hint="eastAsia" w:ascii="宋体" w:hAnsi="宋体" w:eastAsia="宋体" w:cs="宋体"/>
                <w:kern w:val="0"/>
                <w:szCs w:val="21"/>
              </w:rPr>
              <w:t>农业</w:t>
            </w:r>
            <w:r>
              <w:rPr>
                <w:rFonts w:ascii="宋体" w:hAnsi="宋体" w:eastAsia="宋体" w:cs="宋体"/>
                <w:kern w:val="0"/>
                <w:szCs w:val="21"/>
              </w:rPr>
              <w:t>生产</w:t>
            </w:r>
            <w:r>
              <w:rPr>
                <w:rFonts w:hint="eastAsia" w:ascii="宋体" w:hAnsi="宋体" w:eastAsia="宋体" w:cs="宋体"/>
                <w:kern w:val="0"/>
                <w:szCs w:val="21"/>
              </w:rPr>
              <w:t>经营</w:t>
            </w:r>
            <w:r>
              <w:rPr>
                <w:rFonts w:ascii="宋体" w:hAnsi="宋体" w:eastAsia="宋体" w:cs="宋体"/>
                <w:kern w:val="0"/>
                <w:szCs w:val="21"/>
              </w:rPr>
              <w:t>信息化水平</w:t>
            </w:r>
          </w:p>
        </w:tc>
        <w:tc>
          <w:tcPr>
            <w:tcW w:w="477" w:type="pct"/>
            <w:vAlign w:val="center"/>
          </w:tcPr>
          <w:p>
            <w:pPr>
              <w:widowControl/>
              <w:snapToGrid w:val="0"/>
              <w:jc w:val="center"/>
              <w:rPr>
                <w:rFonts w:ascii="宋体" w:hAnsi="宋体" w:eastAsia="宋体" w:cs="宋体"/>
                <w:kern w:val="0"/>
                <w:szCs w:val="21"/>
              </w:rPr>
            </w:pPr>
            <w:r>
              <w:rPr>
                <w:rFonts w:ascii="宋体" w:hAnsi="宋体" w:eastAsia="宋体" w:cs="宋体"/>
                <w:kern w:val="0"/>
                <w:szCs w:val="21"/>
              </w:rPr>
              <w:t>%</w:t>
            </w:r>
          </w:p>
        </w:tc>
        <w:tc>
          <w:tcPr>
            <w:tcW w:w="668" w:type="pct"/>
            <w:vAlign w:val="center"/>
          </w:tcPr>
          <w:p>
            <w:pPr>
              <w:widowControl/>
              <w:snapToGrid w:val="0"/>
              <w:jc w:val="center"/>
              <w:rPr>
                <w:rFonts w:ascii="宋体" w:hAnsi="宋体" w:cs="宋体"/>
                <w:kern w:val="0"/>
                <w:szCs w:val="21"/>
              </w:rPr>
            </w:pPr>
            <w:r>
              <w:rPr>
                <w:rFonts w:hint="eastAsia" w:ascii="宋体" w:hAnsi="宋体" w:cs="宋体"/>
                <w:kern w:val="0"/>
                <w:szCs w:val="21"/>
              </w:rPr>
              <w:t>30</w:t>
            </w:r>
          </w:p>
        </w:tc>
        <w:tc>
          <w:tcPr>
            <w:tcW w:w="608" w:type="pct"/>
            <w:vAlign w:val="center"/>
          </w:tcPr>
          <w:p>
            <w:pPr>
              <w:widowControl/>
              <w:snapToGrid w:val="0"/>
              <w:jc w:val="center"/>
              <w:rPr>
                <w:rFonts w:ascii="宋体" w:hAnsi="宋体" w:cs="宋体"/>
                <w:kern w:val="0"/>
                <w:szCs w:val="21"/>
              </w:rPr>
            </w:pPr>
          </w:p>
        </w:tc>
        <w:tc>
          <w:tcPr>
            <w:tcW w:w="598" w:type="pct"/>
            <w:vAlign w:val="center"/>
          </w:tcPr>
          <w:p>
            <w:pPr>
              <w:widowControl/>
              <w:snapToGrid w:val="0"/>
              <w:jc w:val="center"/>
              <w:rPr>
                <w:rFonts w:ascii="宋体" w:hAnsi="宋体" w:eastAsia="宋体" w:cs="宋体"/>
                <w:kern w:val="0"/>
                <w:szCs w:val="21"/>
              </w:rPr>
            </w:pPr>
            <w:r>
              <w:rPr>
                <w:rFonts w:hint="eastAsia" w:ascii="宋体" w:hAnsi="宋体" w:eastAsia="宋体" w:cs="宋体"/>
                <w:kern w:val="0"/>
                <w:szCs w:val="21"/>
              </w:rPr>
              <w:t>预期性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550" w:type="pct"/>
            <w:vMerge w:val="continue"/>
            <w:vAlign w:val="center"/>
          </w:tcPr>
          <w:p>
            <w:pPr>
              <w:widowControl/>
              <w:snapToGrid w:val="0"/>
              <w:ind w:left="-199" w:firstLine="369" w:firstLineChars="176"/>
              <w:jc w:val="center"/>
              <w:rPr>
                <w:rFonts w:ascii="宋体" w:hAnsi="宋体" w:eastAsia="宋体" w:cs="宋体"/>
                <w:kern w:val="0"/>
                <w:szCs w:val="21"/>
              </w:rPr>
            </w:pPr>
          </w:p>
        </w:tc>
        <w:tc>
          <w:tcPr>
            <w:tcW w:w="404" w:type="pct"/>
            <w:vAlign w:val="center"/>
          </w:tcPr>
          <w:p>
            <w:pPr>
              <w:widowControl/>
              <w:snapToGrid w:val="0"/>
              <w:jc w:val="center"/>
              <w:rPr>
                <w:szCs w:val="21"/>
              </w:rPr>
            </w:pPr>
            <w:r>
              <w:rPr>
                <w:rFonts w:hint="eastAsia"/>
                <w:szCs w:val="21"/>
              </w:rPr>
              <w:t>9</w:t>
            </w:r>
          </w:p>
        </w:tc>
        <w:tc>
          <w:tcPr>
            <w:tcW w:w="1695" w:type="pct"/>
            <w:vAlign w:val="center"/>
          </w:tcPr>
          <w:p>
            <w:pPr>
              <w:widowControl/>
              <w:snapToGrid w:val="0"/>
              <w:jc w:val="left"/>
              <w:rPr>
                <w:rFonts w:ascii="宋体" w:hAnsi="宋体" w:eastAsia="宋体" w:cs="宋体"/>
                <w:kern w:val="0"/>
                <w:szCs w:val="21"/>
              </w:rPr>
            </w:pPr>
            <w:r>
              <w:rPr>
                <w:rFonts w:hint="eastAsia" w:ascii="宋体" w:hAnsi="宋体" w:eastAsia="宋体" w:cs="宋体"/>
                <w:kern w:val="0"/>
                <w:szCs w:val="21"/>
              </w:rPr>
              <w:t>农作物耕种收综合机械化率</w:t>
            </w:r>
          </w:p>
        </w:tc>
        <w:tc>
          <w:tcPr>
            <w:tcW w:w="477" w:type="pct"/>
            <w:vAlign w:val="center"/>
          </w:tcPr>
          <w:p>
            <w:pPr>
              <w:widowControl/>
              <w:snapToGrid w:val="0"/>
              <w:jc w:val="center"/>
              <w:rPr>
                <w:rFonts w:ascii="宋体" w:hAnsi="宋体" w:eastAsia="宋体" w:cs="宋体"/>
                <w:kern w:val="0"/>
                <w:szCs w:val="21"/>
              </w:rPr>
            </w:pPr>
            <w:r>
              <w:rPr>
                <w:rFonts w:ascii="宋体" w:hAnsi="宋体" w:eastAsia="宋体" w:cs="宋体"/>
                <w:kern w:val="0"/>
                <w:szCs w:val="21"/>
              </w:rPr>
              <w:t>%</w:t>
            </w:r>
          </w:p>
        </w:tc>
        <w:tc>
          <w:tcPr>
            <w:tcW w:w="668" w:type="pct"/>
            <w:vAlign w:val="center"/>
          </w:tcPr>
          <w:p>
            <w:pPr>
              <w:widowControl/>
              <w:snapToGrid w:val="0"/>
              <w:jc w:val="center"/>
              <w:rPr>
                <w:rFonts w:ascii="宋体" w:hAnsi="宋体" w:cs="宋体"/>
                <w:kern w:val="0"/>
                <w:szCs w:val="21"/>
              </w:rPr>
            </w:pPr>
            <w:r>
              <w:rPr>
                <w:rFonts w:hint="eastAsia" w:ascii="宋体" w:hAnsi="宋体" w:cs="宋体"/>
                <w:kern w:val="0"/>
                <w:szCs w:val="21"/>
              </w:rPr>
              <w:t>97</w:t>
            </w:r>
          </w:p>
        </w:tc>
        <w:tc>
          <w:tcPr>
            <w:tcW w:w="608" w:type="pct"/>
            <w:vAlign w:val="center"/>
          </w:tcPr>
          <w:p>
            <w:pPr>
              <w:widowControl/>
              <w:snapToGrid w:val="0"/>
              <w:jc w:val="center"/>
              <w:rPr>
                <w:rFonts w:ascii="宋体" w:hAnsi="宋体" w:cs="宋体"/>
                <w:kern w:val="0"/>
                <w:szCs w:val="21"/>
              </w:rPr>
            </w:pPr>
            <w:r>
              <w:rPr>
                <w:rFonts w:hint="eastAsia" w:ascii="宋体" w:hAnsi="宋体" w:cs="宋体"/>
                <w:kern w:val="0"/>
                <w:szCs w:val="21"/>
              </w:rPr>
              <w:t>97</w:t>
            </w:r>
          </w:p>
        </w:tc>
        <w:tc>
          <w:tcPr>
            <w:tcW w:w="598" w:type="pct"/>
            <w:vAlign w:val="center"/>
          </w:tcPr>
          <w:p>
            <w:pPr>
              <w:widowControl/>
              <w:snapToGrid w:val="0"/>
              <w:jc w:val="center"/>
              <w:rPr>
                <w:rFonts w:ascii="宋体" w:hAnsi="宋体" w:eastAsia="宋体" w:cs="宋体"/>
                <w:kern w:val="0"/>
                <w:szCs w:val="21"/>
              </w:rPr>
            </w:pPr>
            <w:r>
              <w:rPr>
                <w:rFonts w:hint="eastAsia" w:ascii="宋体" w:hAnsi="宋体" w:eastAsia="宋体" w:cs="宋体"/>
                <w:kern w:val="0"/>
                <w:szCs w:val="21"/>
              </w:rPr>
              <w:t>预期性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550" w:type="pct"/>
            <w:vMerge w:val="continue"/>
            <w:vAlign w:val="center"/>
          </w:tcPr>
          <w:p>
            <w:pPr>
              <w:widowControl/>
              <w:snapToGrid w:val="0"/>
              <w:ind w:left="-199" w:firstLine="369" w:firstLineChars="176"/>
              <w:jc w:val="center"/>
              <w:rPr>
                <w:rFonts w:ascii="宋体" w:hAnsi="宋体" w:eastAsia="宋体" w:cs="宋体"/>
                <w:kern w:val="0"/>
                <w:szCs w:val="21"/>
              </w:rPr>
            </w:pPr>
          </w:p>
        </w:tc>
        <w:tc>
          <w:tcPr>
            <w:tcW w:w="404" w:type="pct"/>
            <w:vAlign w:val="center"/>
          </w:tcPr>
          <w:p>
            <w:pPr>
              <w:widowControl/>
              <w:snapToGrid w:val="0"/>
              <w:jc w:val="center"/>
              <w:rPr>
                <w:szCs w:val="21"/>
              </w:rPr>
            </w:pPr>
            <w:r>
              <w:rPr>
                <w:rFonts w:hint="eastAsia"/>
                <w:szCs w:val="21"/>
              </w:rPr>
              <w:t>10</w:t>
            </w:r>
          </w:p>
        </w:tc>
        <w:tc>
          <w:tcPr>
            <w:tcW w:w="1695" w:type="pct"/>
            <w:vAlign w:val="center"/>
          </w:tcPr>
          <w:p>
            <w:pPr>
              <w:widowControl/>
              <w:snapToGrid w:val="0"/>
              <w:jc w:val="left"/>
              <w:rPr>
                <w:rFonts w:ascii="宋体" w:hAnsi="宋体" w:eastAsia="宋体" w:cs="宋体"/>
                <w:kern w:val="0"/>
                <w:szCs w:val="21"/>
              </w:rPr>
            </w:pPr>
            <w:r>
              <w:rPr>
                <w:rFonts w:hint="eastAsia" w:ascii="宋体" w:hAnsi="宋体" w:eastAsia="宋体" w:cs="宋体"/>
                <w:kern w:val="0"/>
                <w:szCs w:val="21"/>
              </w:rPr>
              <w:t>小农户土地经营面积比重</w:t>
            </w:r>
          </w:p>
        </w:tc>
        <w:tc>
          <w:tcPr>
            <w:tcW w:w="477" w:type="pct"/>
            <w:vAlign w:val="center"/>
          </w:tcPr>
          <w:p>
            <w:pPr>
              <w:widowControl/>
              <w:snapToGrid w:val="0"/>
              <w:jc w:val="center"/>
              <w:rPr>
                <w:rFonts w:ascii="宋体" w:hAnsi="宋体" w:eastAsia="宋体" w:cs="宋体"/>
                <w:kern w:val="0"/>
                <w:szCs w:val="21"/>
              </w:rPr>
            </w:pPr>
            <w:r>
              <w:rPr>
                <w:rFonts w:ascii="宋体" w:hAnsi="宋体" w:eastAsia="宋体" w:cs="宋体"/>
                <w:kern w:val="0"/>
                <w:szCs w:val="21"/>
              </w:rPr>
              <w:t>%</w:t>
            </w:r>
          </w:p>
        </w:tc>
        <w:tc>
          <w:tcPr>
            <w:tcW w:w="668" w:type="pct"/>
            <w:vAlign w:val="center"/>
          </w:tcPr>
          <w:p>
            <w:pPr>
              <w:widowControl/>
              <w:snapToGrid w:val="0"/>
              <w:jc w:val="center"/>
              <w:rPr>
                <w:rFonts w:ascii="宋体" w:hAnsi="宋体" w:cs="宋体"/>
                <w:kern w:val="0"/>
                <w:szCs w:val="21"/>
              </w:rPr>
            </w:pPr>
            <w:r>
              <w:rPr>
                <w:rFonts w:hint="eastAsia" w:ascii="宋体" w:hAnsi="宋体" w:cs="宋体"/>
                <w:kern w:val="0"/>
                <w:szCs w:val="21"/>
              </w:rPr>
              <w:t>14</w:t>
            </w:r>
          </w:p>
        </w:tc>
        <w:tc>
          <w:tcPr>
            <w:tcW w:w="608" w:type="pct"/>
            <w:vAlign w:val="center"/>
          </w:tcPr>
          <w:p>
            <w:pPr>
              <w:widowControl/>
              <w:snapToGrid w:val="0"/>
              <w:jc w:val="center"/>
              <w:rPr>
                <w:rFonts w:ascii="宋体" w:hAnsi="宋体" w:cs="宋体"/>
                <w:kern w:val="0"/>
                <w:szCs w:val="21"/>
              </w:rPr>
            </w:pPr>
            <w:r>
              <w:rPr>
                <w:rFonts w:hint="eastAsia" w:ascii="宋体" w:hAnsi="宋体" w:cs="宋体"/>
                <w:kern w:val="0"/>
                <w:szCs w:val="21"/>
              </w:rPr>
              <w:t>10</w:t>
            </w:r>
          </w:p>
        </w:tc>
        <w:tc>
          <w:tcPr>
            <w:tcW w:w="598" w:type="pct"/>
            <w:vAlign w:val="center"/>
          </w:tcPr>
          <w:p>
            <w:pPr>
              <w:widowControl/>
              <w:snapToGrid w:val="0"/>
              <w:jc w:val="center"/>
              <w:rPr>
                <w:rFonts w:ascii="宋体" w:hAnsi="宋体" w:eastAsia="宋体" w:cs="宋体"/>
                <w:kern w:val="0"/>
                <w:szCs w:val="21"/>
              </w:rPr>
            </w:pPr>
            <w:r>
              <w:rPr>
                <w:rFonts w:hint="eastAsia" w:ascii="宋体" w:hAnsi="宋体" w:eastAsia="宋体" w:cs="宋体"/>
                <w:kern w:val="0"/>
                <w:szCs w:val="21"/>
              </w:rPr>
              <w:t>预期性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550" w:type="pct"/>
            <w:vMerge w:val="continue"/>
            <w:vAlign w:val="center"/>
          </w:tcPr>
          <w:p>
            <w:pPr>
              <w:widowControl/>
              <w:snapToGrid w:val="0"/>
              <w:ind w:left="-199" w:firstLine="369" w:firstLineChars="176"/>
              <w:jc w:val="center"/>
              <w:rPr>
                <w:rFonts w:ascii="宋体" w:hAnsi="宋体" w:eastAsia="宋体" w:cs="宋体"/>
                <w:kern w:val="0"/>
                <w:szCs w:val="21"/>
              </w:rPr>
            </w:pPr>
          </w:p>
        </w:tc>
        <w:tc>
          <w:tcPr>
            <w:tcW w:w="404" w:type="pct"/>
            <w:vAlign w:val="center"/>
          </w:tcPr>
          <w:p>
            <w:pPr>
              <w:widowControl/>
              <w:snapToGrid w:val="0"/>
              <w:jc w:val="center"/>
              <w:rPr>
                <w:szCs w:val="21"/>
              </w:rPr>
            </w:pPr>
            <w:r>
              <w:rPr>
                <w:rFonts w:hint="eastAsia"/>
                <w:szCs w:val="21"/>
              </w:rPr>
              <w:t>11</w:t>
            </w:r>
          </w:p>
        </w:tc>
        <w:tc>
          <w:tcPr>
            <w:tcW w:w="1695" w:type="pct"/>
            <w:vAlign w:val="center"/>
          </w:tcPr>
          <w:p>
            <w:pPr>
              <w:widowControl/>
              <w:snapToGrid w:val="0"/>
              <w:jc w:val="left"/>
              <w:rPr>
                <w:rFonts w:ascii="宋体" w:hAnsi="宋体" w:eastAsia="宋体" w:cs="宋体"/>
                <w:kern w:val="0"/>
                <w:szCs w:val="21"/>
              </w:rPr>
            </w:pPr>
            <w:r>
              <w:rPr>
                <w:rFonts w:hint="eastAsia" w:ascii="宋体" w:hAnsi="宋体" w:eastAsia="宋体" w:cs="宋体"/>
                <w:kern w:val="0"/>
                <w:szCs w:val="21"/>
              </w:rPr>
              <w:t>精品农产品品牌数量</w:t>
            </w:r>
          </w:p>
        </w:tc>
        <w:tc>
          <w:tcPr>
            <w:tcW w:w="477" w:type="pct"/>
            <w:vAlign w:val="center"/>
          </w:tcPr>
          <w:p>
            <w:pPr>
              <w:widowControl/>
              <w:snapToGrid w:val="0"/>
              <w:jc w:val="center"/>
              <w:rPr>
                <w:rFonts w:ascii="宋体" w:hAnsi="宋体" w:eastAsia="宋体" w:cs="宋体"/>
                <w:kern w:val="0"/>
                <w:szCs w:val="21"/>
              </w:rPr>
            </w:pPr>
            <w:r>
              <w:rPr>
                <w:rFonts w:hint="eastAsia" w:ascii="宋体" w:hAnsi="宋体" w:eastAsia="宋体" w:cs="宋体"/>
                <w:kern w:val="0"/>
                <w:szCs w:val="21"/>
              </w:rPr>
              <w:t>个</w:t>
            </w:r>
          </w:p>
        </w:tc>
        <w:tc>
          <w:tcPr>
            <w:tcW w:w="668" w:type="pct"/>
            <w:vAlign w:val="center"/>
          </w:tcPr>
          <w:p>
            <w:pPr>
              <w:widowControl/>
              <w:snapToGrid w:val="0"/>
              <w:jc w:val="center"/>
              <w:rPr>
                <w:rFonts w:ascii="宋体" w:hAnsi="宋体" w:eastAsia="宋体" w:cs="宋体"/>
                <w:kern w:val="0"/>
                <w:szCs w:val="21"/>
              </w:rPr>
            </w:pPr>
            <w:r>
              <w:rPr>
                <w:rFonts w:hint="eastAsia" w:ascii="宋体" w:hAnsi="宋体" w:eastAsia="宋体" w:cs="宋体"/>
                <w:kern w:val="0"/>
                <w:szCs w:val="21"/>
              </w:rPr>
              <w:t>2</w:t>
            </w:r>
          </w:p>
        </w:tc>
        <w:tc>
          <w:tcPr>
            <w:tcW w:w="608" w:type="pct"/>
            <w:vAlign w:val="center"/>
          </w:tcPr>
          <w:p>
            <w:pPr>
              <w:widowControl/>
              <w:snapToGrid w:val="0"/>
              <w:jc w:val="center"/>
              <w:rPr>
                <w:rFonts w:ascii="宋体" w:hAnsi="宋体" w:eastAsia="宋体" w:cs="宋体"/>
                <w:kern w:val="0"/>
                <w:szCs w:val="21"/>
              </w:rPr>
            </w:pPr>
            <w:r>
              <w:rPr>
                <w:rFonts w:hint="eastAsia" w:ascii="宋体" w:hAnsi="宋体" w:eastAsia="宋体" w:cs="宋体"/>
                <w:kern w:val="0"/>
                <w:szCs w:val="21"/>
              </w:rPr>
              <w:t>2</w:t>
            </w:r>
          </w:p>
        </w:tc>
        <w:tc>
          <w:tcPr>
            <w:tcW w:w="598" w:type="pct"/>
            <w:vAlign w:val="center"/>
          </w:tcPr>
          <w:p>
            <w:pPr>
              <w:widowControl/>
              <w:snapToGrid w:val="0"/>
              <w:jc w:val="center"/>
              <w:rPr>
                <w:rFonts w:ascii="宋体" w:hAnsi="宋体" w:eastAsia="宋体" w:cs="宋体"/>
                <w:kern w:val="0"/>
                <w:szCs w:val="21"/>
              </w:rPr>
            </w:pPr>
            <w:r>
              <w:rPr>
                <w:rFonts w:hint="eastAsia" w:ascii="宋体" w:hAnsi="宋体" w:eastAsia="宋体" w:cs="宋体"/>
                <w:kern w:val="0"/>
                <w:szCs w:val="21"/>
              </w:rPr>
              <w:t>预期性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550" w:type="pct"/>
            <w:vMerge w:val="continue"/>
            <w:vAlign w:val="center"/>
          </w:tcPr>
          <w:p>
            <w:pPr>
              <w:widowControl/>
              <w:snapToGrid w:val="0"/>
              <w:ind w:left="-199" w:firstLine="369" w:firstLineChars="176"/>
              <w:jc w:val="center"/>
              <w:rPr>
                <w:rFonts w:ascii="宋体" w:hAnsi="宋体" w:eastAsia="宋体" w:cs="宋体"/>
                <w:kern w:val="0"/>
                <w:szCs w:val="21"/>
              </w:rPr>
            </w:pPr>
          </w:p>
        </w:tc>
        <w:tc>
          <w:tcPr>
            <w:tcW w:w="404" w:type="pct"/>
            <w:vAlign w:val="center"/>
          </w:tcPr>
          <w:p>
            <w:pPr>
              <w:widowControl/>
              <w:snapToGrid w:val="0"/>
              <w:jc w:val="center"/>
              <w:rPr>
                <w:szCs w:val="21"/>
              </w:rPr>
            </w:pPr>
            <w:r>
              <w:rPr>
                <w:rFonts w:hint="eastAsia"/>
                <w:szCs w:val="21"/>
              </w:rPr>
              <w:t>12</w:t>
            </w:r>
          </w:p>
        </w:tc>
        <w:tc>
          <w:tcPr>
            <w:tcW w:w="1695" w:type="pct"/>
            <w:vAlign w:val="center"/>
          </w:tcPr>
          <w:p>
            <w:pPr>
              <w:widowControl/>
              <w:snapToGrid w:val="0"/>
              <w:jc w:val="left"/>
              <w:rPr>
                <w:rFonts w:ascii="宋体" w:hAnsi="宋体" w:eastAsia="宋体" w:cs="宋体"/>
                <w:kern w:val="0"/>
                <w:szCs w:val="21"/>
              </w:rPr>
            </w:pPr>
            <w:r>
              <w:rPr>
                <w:rFonts w:hint="eastAsia" w:ascii="宋体" w:hAnsi="宋体" w:eastAsia="宋体" w:cs="宋体"/>
                <w:kern w:val="0"/>
                <w:szCs w:val="21"/>
              </w:rPr>
              <w:t>休闲农业综合收入</w:t>
            </w:r>
          </w:p>
        </w:tc>
        <w:tc>
          <w:tcPr>
            <w:tcW w:w="477" w:type="pct"/>
            <w:vAlign w:val="center"/>
          </w:tcPr>
          <w:p>
            <w:pPr>
              <w:widowControl/>
              <w:snapToGrid w:val="0"/>
              <w:jc w:val="center"/>
              <w:rPr>
                <w:rFonts w:ascii="宋体" w:hAnsi="宋体" w:eastAsia="宋体" w:cs="宋体"/>
                <w:kern w:val="0"/>
                <w:szCs w:val="21"/>
              </w:rPr>
            </w:pPr>
            <w:r>
              <w:rPr>
                <w:rFonts w:hint="eastAsia" w:ascii="宋体" w:hAnsi="宋体" w:eastAsia="宋体" w:cs="宋体"/>
                <w:kern w:val="0"/>
                <w:szCs w:val="21"/>
              </w:rPr>
              <w:t>万元</w:t>
            </w:r>
          </w:p>
        </w:tc>
        <w:tc>
          <w:tcPr>
            <w:tcW w:w="668" w:type="pct"/>
            <w:vAlign w:val="center"/>
          </w:tcPr>
          <w:p>
            <w:pPr>
              <w:widowControl/>
              <w:snapToGrid w:val="0"/>
              <w:jc w:val="center"/>
              <w:rPr>
                <w:rFonts w:ascii="宋体" w:hAnsi="宋体" w:eastAsia="宋体" w:cs="宋体"/>
                <w:kern w:val="0"/>
                <w:szCs w:val="21"/>
              </w:rPr>
            </w:pPr>
            <w:r>
              <w:rPr>
                <w:rFonts w:hint="eastAsia" w:ascii="宋体" w:hAnsi="宋体" w:eastAsia="宋体" w:cs="宋体"/>
                <w:kern w:val="0"/>
                <w:szCs w:val="21"/>
              </w:rPr>
              <w:t>2</w:t>
            </w:r>
            <w:r>
              <w:rPr>
                <w:rFonts w:ascii="宋体" w:hAnsi="宋体" w:eastAsia="宋体" w:cs="宋体"/>
                <w:kern w:val="0"/>
                <w:szCs w:val="21"/>
              </w:rPr>
              <w:t>4</w:t>
            </w:r>
            <w:r>
              <w:rPr>
                <w:rFonts w:hint="eastAsia" w:ascii="宋体" w:hAnsi="宋体" w:eastAsia="宋体" w:cs="宋体"/>
                <w:kern w:val="0"/>
                <w:szCs w:val="21"/>
              </w:rPr>
              <w:t>11</w:t>
            </w:r>
          </w:p>
        </w:tc>
        <w:tc>
          <w:tcPr>
            <w:tcW w:w="608" w:type="pct"/>
            <w:vAlign w:val="center"/>
          </w:tcPr>
          <w:p>
            <w:pPr>
              <w:widowControl/>
              <w:snapToGrid w:val="0"/>
              <w:jc w:val="center"/>
              <w:rPr>
                <w:rFonts w:ascii="宋体" w:hAnsi="宋体" w:eastAsia="宋体" w:cs="宋体"/>
                <w:kern w:val="0"/>
                <w:szCs w:val="21"/>
              </w:rPr>
            </w:pPr>
            <w:r>
              <w:rPr>
                <w:rFonts w:ascii="宋体" w:hAnsi="宋体" w:eastAsia="宋体" w:cs="宋体"/>
                <w:kern w:val="0"/>
                <w:szCs w:val="21"/>
              </w:rPr>
              <w:t>10000</w:t>
            </w:r>
          </w:p>
        </w:tc>
        <w:tc>
          <w:tcPr>
            <w:tcW w:w="598" w:type="pct"/>
            <w:vAlign w:val="center"/>
          </w:tcPr>
          <w:p>
            <w:pPr>
              <w:widowControl/>
              <w:snapToGrid w:val="0"/>
              <w:jc w:val="center"/>
              <w:rPr>
                <w:rFonts w:ascii="宋体" w:hAnsi="宋体" w:eastAsia="宋体" w:cs="宋体"/>
                <w:kern w:val="0"/>
                <w:szCs w:val="21"/>
              </w:rPr>
            </w:pPr>
            <w:r>
              <w:rPr>
                <w:rFonts w:hint="eastAsia" w:ascii="宋体" w:hAnsi="宋体" w:eastAsia="宋体" w:cs="宋体"/>
                <w:kern w:val="0"/>
                <w:szCs w:val="21"/>
              </w:rPr>
              <w:t>预期性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550" w:type="pct"/>
            <w:vMerge w:val="continue"/>
            <w:vAlign w:val="center"/>
          </w:tcPr>
          <w:p>
            <w:pPr>
              <w:widowControl/>
              <w:snapToGrid w:val="0"/>
              <w:ind w:left="-199" w:firstLine="369" w:firstLineChars="176"/>
              <w:jc w:val="center"/>
              <w:rPr>
                <w:rFonts w:ascii="宋体" w:hAnsi="宋体" w:eastAsia="宋体" w:cs="宋体"/>
                <w:kern w:val="0"/>
                <w:szCs w:val="21"/>
              </w:rPr>
            </w:pPr>
          </w:p>
        </w:tc>
        <w:tc>
          <w:tcPr>
            <w:tcW w:w="404" w:type="pct"/>
            <w:vAlign w:val="center"/>
          </w:tcPr>
          <w:p>
            <w:pPr>
              <w:widowControl/>
              <w:snapToGrid w:val="0"/>
              <w:jc w:val="center"/>
              <w:rPr>
                <w:szCs w:val="21"/>
              </w:rPr>
            </w:pPr>
            <w:r>
              <w:rPr>
                <w:rFonts w:hint="eastAsia"/>
                <w:szCs w:val="21"/>
              </w:rPr>
              <w:t>13</w:t>
            </w:r>
          </w:p>
        </w:tc>
        <w:tc>
          <w:tcPr>
            <w:tcW w:w="1695" w:type="pct"/>
            <w:vAlign w:val="center"/>
          </w:tcPr>
          <w:p>
            <w:pPr>
              <w:widowControl/>
              <w:snapToGrid w:val="0"/>
              <w:jc w:val="left"/>
              <w:rPr>
                <w:rFonts w:ascii="宋体" w:hAnsi="宋体" w:eastAsia="宋体" w:cs="宋体"/>
                <w:kern w:val="0"/>
                <w:szCs w:val="21"/>
              </w:rPr>
            </w:pPr>
            <w:r>
              <w:rPr>
                <w:rFonts w:hint="eastAsia" w:ascii="宋体" w:hAnsi="宋体" w:eastAsia="宋体" w:cs="宋体"/>
                <w:kern w:val="0"/>
                <w:szCs w:val="21"/>
              </w:rPr>
              <w:t>三产融合发展示范区</w:t>
            </w:r>
          </w:p>
        </w:tc>
        <w:tc>
          <w:tcPr>
            <w:tcW w:w="477" w:type="pct"/>
            <w:vAlign w:val="center"/>
          </w:tcPr>
          <w:p>
            <w:pPr>
              <w:widowControl/>
              <w:snapToGrid w:val="0"/>
              <w:jc w:val="center"/>
              <w:rPr>
                <w:rFonts w:ascii="宋体" w:hAnsi="宋体" w:eastAsia="宋体" w:cs="宋体"/>
                <w:kern w:val="0"/>
                <w:szCs w:val="21"/>
              </w:rPr>
            </w:pPr>
            <w:r>
              <w:rPr>
                <w:rFonts w:hint="eastAsia" w:ascii="宋体" w:hAnsi="宋体" w:eastAsia="宋体" w:cs="宋体"/>
                <w:kern w:val="0"/>
                <w:szCs w:val="21"/>
              </w:rPr>
              <w:t>个</w:t>
            </w:r>
          </w:p>
        </w:tc>
        <w:tc>
          <w:tcPr>
            <w:tcW w:w="668" w:type="pct"/>
            <w:vAlign w:val="center"/>
          </w:tcPr>
          <w:p>
            <w:pPr>
              <w:widowControl/>
              <w:snapToGrid w:val="0"/>
              <w:jc w:val="center"/>
              <w:rPr>
                <w:rFonts w:ascii="宋体" w:hAnsi="宋体" w:eastAsia="宋体" w:cs="宋体"/>
                <w:kern w:val="0"/>
                <w:szCs w:val="21"/>
              </w:rPr>
            </w:pPr>
            <w:r>
              <w:rPr>
                <w:rFonts w:hint="eastAsia" w:ascii="宋体" w:hAnsi="宋体" w:eastAsia="宋体" w:cs="宋体"/>
                <w:kern w:val="0"/>
                <w:szCs w:val="21"/>
              </w:rPr>
              <w:t>0</w:t>
            </w:r>
          </w:p>
        </w:tc>
        <w:tc>
          <w:tcPr>
            <w:tcW w:w="608" w:type="pct"/>
            <w:vAlign w:val="center"/>
          </w:tcPr>
          <w:p>
            <w:pPr>
              <w:widowControl/>
              <w:snapToGrid w:val="0"/>
              <w:jc w:val="center"/>
              <w:rPr>
                <w:rFonts w:ascii="宋体" w:hAnsi="宋体" w:eastAsia="宋体" w:cs="宋体"/>
                <w:kern w:val="0"/>
                <w:szCs w:val="21"/>
              </w:rPr>
            </w:pPr>
            <w:r>
              <w:rPr>
                <w:rFonts w:hint="eastAsia" w:ascii="宋体" w:hAnsi="宋体" w:eastAsia="宋体" w:cs="宋体"/>
                <w:kern w:val="0"/>
                <w:szCs w:val="21"/>
              </w:rPr>
              <w:t>2</w:t>
            </w:r>
          </w:p>
        </w:tc>
        <w:tc>
          <w:tcPr>
            <w:tcW w:w="598" w:type="pct"/>
            <w:vAlign w:val="center"/>
          </w:tcPr>
          <w:p>
            <w:pPr>
              <w:widowControl/>
              <w:snapToGrid w:val="0"/>
              <w:jc w:val="center"/>
              <w:rPr>
                <w:rFonts w:ascii="宋体" w:hAnsi="宋体" w:eastAsia="宋体" w:cs="宋体"/>
                <w:kern w:val="0"/>
                <w:szCs w:val="21"/>
              </w:rPr>
            </w:pPr>
            <w:r>
              <w:rPr>
                <w:rFonts w:hint="eastAsia" w:ascii="宋体" w:hAnsi="宋体" w:eastAsia="宋体" w:cs="宋体"/>
                <w:kern w:val="0"/>
                <w:szCs w:val="21"/>
              </w:rPr>
              <w:t>预期性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550" w:type="pct"/>
            <w:vMerge w:val="restart"/>
            <w:vAlign w:val="center"/>
          </w:tcPr>
          <w:p>
            <w:pPr>
              <w:widowControl/>
              <w:snapToGrid w:val="0"/>
              <w:ind w:left="-199"/>
              <w:jc w:val="right"/>
              <w:rPr>
                <w:rFonts w:ascii="宋体" w:hAnsi="宋体" w:eastAsia="宋体" w:cs="宋体"/>
                <w:kern w:val="0"/>
                <w:szCs w:val="21"/>
              </w:rPr>
            </w:pPr>
            <w:r>
              <w:rPr>
                <w:rFonts w:hint="eastAsia" w:ascii="宋体" w:hAnsi="宋体" w:eastAsia="宋体" w:cs="宋体"/>
                <w:kern w:val="0"/>
                <w:szCs w:val="21"/>
              </w:rPr>
              <w:t>环境改善</w:t>
            </w:r>
          </w:p>
        </w:tc>
        <w:tc>
          <w:tcPr>
            <w:tcW w:w="404" w:type="pct"/>
            <w:vAlign w:val="center"/>
          </w:tcPr>
          <w:p>
            <w:pPr>
              <w:widowControl/>
              <w:snapToGrid w:val="0"/>
              <w:jc w:val="center"/>
              <w:rPr>
                <w:szCs w:val="21"/>
              </w:rPr>
            </w:pPr>
            <w:r>
              <w:rPr>
                <w:rFonts w:hint="eastAsia"/>
                <w:szCs w:val="21"/>
              </w:rPr>
              <w:t>14</w:t>
            </w:r>
          </w:p>
        </w:tc>
        <w:tc>
          <w:tcPr>
            <w:tcW w:w="1695" w:type="pct"/>
            <w:vAlign w:val="center"/>
          </w:tcPr>
          <w:p>
            <w:pPr>
              <w:widowControl/>
              <w:snapToGrid w:val="0"/>
              <w:jc w:val="left"/>
              <w:rPr>
                <w:rFonts w:ascii="宋体" w:hAnsi="宋体" w:eastAsia="宋体" w:cs="宋体"/>
                <w:kern w:val="0"/>
                <w:szCs w:val="21"/>
              </w:rPr>
            </w:pPr>
            <w:r>
              <w:rPr>
                <w:rFonts w:hint="eastAsia" w:ascii="宋体" w:hAnsi="宋体" w:eastAsia="宋体" w:cs="宋体"/>
                <w:kern w:val="0"/>
                <w:szCs w:val="21"/>
              </w:rPr>
              <w:t>建成区域绿化覆盖率</w:t>
            </w:r>
          </w:p>
        </w:tc>
        <w:tc>
          <w:tcPr>
            <w:tcW w:w="477" w:type="pct"/>
            <w:vAlign w:val="center"/>
          </w:tcPr>
          <w:p>
            <w:pPr>
              <w:widowControl/>
              <w:snapToGrid w:val="0"/>
              <w:jc w:val="center"/>
              <w:rPr>
                <w:rFonts w:ascii="宋体" w:hAnsi="宋体" w:eastAsia="宋体" w:cs="宋体"/>
                <w:kern w:val="0"/>
                <w:szCs w:val="21"/>
              </w:rPr>
            </w:pPr>
            <w:r>
              <w:rPr>
                <w:rFonts w:hint="eastAsia" w:ascii="宋体" w:hAnsi="宋体" w:eastAsia="宋体" w:cs="宋体"/>
                <w:kern w:val="0"/>
                <w:szCs w:val="21"/>
              </w:rPr>
              <w:t>%</w:t>
            </w:r>
          </w:p>
        </w:tc>
        <w:tc>
          <w:tcPr>
            <w:tcW w:w="668" w:type="pct"/>
            <w:vAlign w:val="center"/>
          </w:tcPr>
          <w:p>
            <w:pPr>
              <w:widowControl/>
              <w:snapToGrid w:val="0"/>
              <w:jc w:val="center"/>
              <w:rPr>
                <w:rFonts w:ascii="宋体" w:hAnsi="宋体" w:cs="宋体"/>
                <w:kern w:val="0"/>
                <w:szCs w:val="21"/>
              </w:rPr>
            </w:pPr>
            <w:r>
              <w:rPr>
                <w:rFonts w:hint="eastAsia" w:ascii="宋体" w:hAnsi="宋体" w:eastAsia="宋体" w:cs="宋体"/>
                <w:kern w:val="0"/>
                <w:szCs w:val="21"/>
              </w:rPr>
              <w:t>42.6</w:t>
            </w:r>
          </w:p>
        </w:tc>
        <w:tc>
          <w:tcPr>
            <w:tcW w:w="608" w:type="pct"/>
            <w:vAlign w:val="center"/>
          </w:tcPr>
          <w:p>
            <w:pPr>
              <w:widowControl/>
              <w:snapToGrid w:val="0"/>
              <w:jc w:val="center"/>
              <w:rPr>
                <w:rFonts w:ascii="宋体" w:hAnsi="宋体" w:cs="宋体"/>
                <w:kern w:val="0"/>
                <w:szCs w:val="21"/>
              </w:rPr>
            </w:pPr>
            <w:r>
              <w:rPr>
                <w:rFonts w:hint="eastAsia" w:ascii="宋体" w:hAnsi="宋体" w:eastAsia="宋体" w:cs="宋体"/>
                <w:kern w:val="0"/>
                <w:szCs w:val="21"/>
              </w:rPr>
              <w:t>43</w:t>
            </w:r>
          </w:p>
        </w:tc>
        <w:tc>
          <w:tcPr>
            <w:tcW w:w="598" w:type="pct"/>
            <w:vAlign w:val="center"/>
          </w:tcPr>
          <w:p>
            <w:pPr>
              <w:widowControl/>
              <w:snapToGrid w:val="0"/>
              <w:jc w:val="center"/>
              <w:rPr>
                <w:rFonts w:ascii="宋体" w:hAnsi="宋体" w:eastAsia="宋体" w:cs="宋体"/>
                <w:kern w:val="0"/>
                <w:szCs w:val="21"/>
              </w:rPr>
            </w:pPr>
            <w:r>
              <w:rPr>
                <w:rFonts w:hint="eastAsia" w:ascii="宋体" w:hAnsi="宋体" w:eastAsia="宋体" w:cs="宋体"/>
                <w:kern w:val="0"/>
                <w:szCs w:val="21"/>
              </w:rPr>
              <w:t>约束性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550" w:type="pct"/>
            <w:vMerge w:val="continue"/>
            <w:vAlign w:val="center"/>
          </w:tcPr>
          <w:p>
            <w:pPr>
              <w:widowControl/>
              <w:snapToGrid w:val="0"/>
              <w:ind w:left="-199" w:firstLine="369" w:firstLineChars="176"/>
              <w:jc w:val="center"/>
              <w:rPr>
                <w:rFonts w:ascii="宋体" w:hAnsi="宋体" w:eastAsia="宋体" w:cs="宋体"/>
                <w:kern w:val="0"/>
                <w:szCs w:val="21"/>
              </w:rPr>
            </w:pPr>
          </w:p>
        </w:tc>
        <w:tc>
          <w:tcPr>
            <w:tcW w:w="404" w:type="pct"/>
            <w:vAlign w:val="center"/>
          </w:tcPr>
          <w:p>
            <w:pPr>
              <w:widowControl/>
              <w:snapToGrid w:val="0"/>
              <w:jc w:val="center"/>
              <w:rPr>
                <w:szCs w:val="21"/>
              </w:rPr>
            </w:pPr>
            <w:r>
              <w:rPr>
                <w:rFonts w:hint="eastAsia"/>
                <w:szCs w:val="21"/>
              </w:rPr>
              <w:t>15</w:t>
            </w:r>
          </w:p>
        </w:tc>
        <w:tc>
          <w:tcPr>
            <w:tcW w:w="1695" w:type="pct"/>
            <w:vAlign w:val="center"/>
          </w:tcPr>
          <w:p>
            <w:pPr>
              <w:widowControl/>
              <w:snapToGrid w:val="0"/>
              <w:ind w:left="-199" w:leftChars="-95" w:firstLine="210" w:firstLineChars="100"/>
              <w:jc w:val="left"/>
              <w:rPr>
                <w:rFonts w:ascii="宋体" w:hAnsi="宋体" w:eastAsia="宋体" w:cs="宋体"/>
                <w:kern w:val="0"/>
                <w:szCs w:val="21"/>
              </w:rPr>
            </w:pPr>
            <w:r>
              <w:rPr>
                <w:rFonts w:hint="eastAsia" w:ascii="宋体" w:hAnsi="宋体" w:eastAsia="宋体" w:cs="宋体"/>
                <w:kern w:val="0"/>
                <w:szCs w:val="21"/>
              </w:rPr>
              <w:t>二级河道V类水体达标率</w:t>
            </w:r>
          </w:p>
        </w:tc>
        <w:tc>
          <w:tcPr>
            <w:tcW w:w="477" w:type="pct"/>
            <w:vAlign w:val="center"/>
          </w:tcPr>
          <w:p>
            <w:pPr>
              <w:widowControl/>
              <w:snapToGrid w:val="0"/>
              <w:jc w:val="center"/>
              <w:rPr>
                <w:rFonts w:ascii="宋体" w:hAnsi="宋体" w:eastAsia="宋体" w:cs="宋体"/>
                <w:kern w:val="0"/>
                <w:szCs w:val="21"/>
              </w:rPr>
            </w:pPr>
            <w:r>
              <w:rPr>
                <w:rFonts w:ascii="宋体" w:hAnsi="宋体" w:eastAsia="宋体" w:cs="宋体"/>
                <w:kern w:val="0"/>
                <w:szCs w:val="21"/>
              </w:rPr>
              <w:t>%</w:t>
            </w:r>
          </w:p>
        </w:tc>
        <w:tc>
          <w:tcPr>
            <w:tcW w:w="668" w:type="pct"/>
            <w:vAlign w:val="center"/>
          </w:tcPr>
          <w:p>
            <w:pPr>
              <w:widowControl/>
              <w:snapToGrid w:val="0"/>
              <w:jc w:val="center"/>
              <w:rPr>
                <w:rFonts w:ascii="宋体" w:hAnsi="宋体" w:eastAsia="宋体" w:cs="宋体"/>
                <w:kern w:val="0"/>
                <w:szCs w:val="21"/>
              </w:rPr>
            </w:pPr>
            <w:r>
              <w:rPr>
                <w:rFonts w:hint="eastAsia" w:ascii="宋体" w:hAnsi="宋体" w:eastAsia="宋体" w:cs="宋体"/>
                <w:kern w:val="0"/>
                <w:szCs w:val="21"/>
              </w:rPr>
              <w:t>100</w:t>
            </w:r>
          </w:p>
        </w:tc>
        <w:tc>
          <w:tcPr>
            <w:tcW w:w="608" w:type="pct"/>
            <w:vAlign w:val="center"/>
          </w:tcPr>
          <w:p>
            <w:pPr>
              <w:widowControl/>
              <w:snapToGrid w:val="0"/>
              <w:jc w:val="center"/>
              <w:rPr>
                <w:rFonts w:ascii="宋体" w:hAnsi="宋体" w:eastAsia="宋体" w:cs="宋体"/>
                <w:kern w:val="0"/>
                <w:szCs w:val="21"/>
              </w:rPr>
            </w:pPr>
            <w:r>
              <w:rPr>
                <w:rFonts w:hint="eastAsia" w:ascii="宋体" w:hAnsi="宋体" w:eastAsia="宋体" w:cs="宋体"/>
                <w:kern w:val="0"/>
                <w:szCs w:val="21"/>
              </w:rPr>
              <w:t>100</w:t>
            </w:r>
          </w:p>
        </w:tc>
        <w:tc>
          <w:tcPr>
            <w:tcW w:w="598" w:type="pct"/>
            <w:vAlign w:val="center"/>
          </w:tcPr>
          <w:p>
            <w:pPr>
              <w:widowControl/>
              <w:snapToGrid w:val="0"/>
              <w:jc w:val="center"/>
              <w:rPr>
                <w:rFonts w:ascii="宋体" w:hAnsi="宋体" w:eastAsia="宋体" w:cs="宋体"/>
                <w:kern w:val="0"/>
                <w:szCs w:val="21"/>
              </w:rPr>
            </w:pPr>
            <w:r>
              <w:rPr>
                <w:rFonts w:hint="eastAsia" w:ascii="宋体" w:hAnsi="宋体" w:eastAsia="宋体" w:cs="宋体"/>
                <w:kern w:val="0"/>
                <w:szCs w:val="21"/>
              </w:rPr>
              <w:t>预期性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550" w:type="pct"/>
            <w:vMerge w:val="continue"/>
            <w:vAlign w:val="center"/>
          </w:tcPr>
          <w:p>
            <w:pPr>
              <w:widowControl/>
              <w:snapToGrid w:val="0"/>
              <w:ind w:left="-199" w:firstLine="369" w:firstLineChars="176"/>
              <w:jc w:val="center"/>
              <w:rPr>
                <w:rFonts w:ascii="宋体" w:hAnsi="宋体" w:eastAsia="宋体" w:cs="宋体"/>
                <w:kern w:val="0"/>
                <w:szCs w:val="21"/>
              </w:rPr>
            </w:pPr>
          </w:p>
        </w:tc>
        <w:tc>
          <w:tcPr>
            <w:tcW w:w="404" w:type="pct"/>
            <w:vAlign w:val="center"/>
          </w:tcPr>
          <w:p>
            <w:pPr>
              <w:widowControl/>
              <w:snapToGrid w:val="0"/>
              <w:jc w:val="center"/>
              <w:rPr>
                <w:szCs w:val="21"/>
              </w:rPr>
            </w:pPr>
            <w:r>
              <w:rPr>
                <w:rFonts w:hint="eastAsia"/>
                <w:szCs w:val="21"/>
              </w:rPr>
              <w:t>16</w:t>
            </w:r>
          </w:p>
        </w:tc>
        <w:tc>
          <w:tcPr>
            <w:tcW w:w="1695" w:type="pct"/>
            <w:vAlign w:val="center"/>
          </w:tcPr>
          <w:p>
            <w:pPr>
              <w:widowControl/>
              <w:snapToGrid w:val="0"/>
              <w:jc w:val="left"/>
              <w:rPr>
                <w:rFonts w:ascii="宋体" w:hAnsi="宋体" w:eastAsia="宋体" w:cs="宋体"/>
                <w:kern w:val="0"/>
                <w:szCs w:val="21"/>
              </w:rPr>
            </w:pPr>
            <w:r>
              <w:rPr>
                <w:rFonts w:hint="eastAsia" w:ascii="宋体" w:hAnsi="宋体" w:eastAsia="宋体" w:cs="宋体"/>
                <w:kern w:val="0"/>
                <w:szCs w:val="21"/>
              </w:rPr>
              <w:t>一级管控区蓝绿空间占比</w:t>
            </w:r>
          </w:p>
        </w:tc>
        <w:tc>
          <w:tcPr>
            <w:tcW w:w="477" w:type="pct"/>
            <w:vAlign w:val="center"/>
          </w:tcPr>
          <w:p>
            <w:pPr>
              <w:widowControl/>
              <w:snapToGrid w:val="0"/>
              <w:jc w:val="center"/>
              <w:rPr>
                <w:rFonts w:ascii="宋体" w:hAnsi="宋体" w:eastAsia="宋体" w:cs="宋体"/>
                <w:kern w:val="0"/>
                <w:szCs w:val="21"/>
              </w:rPr>
            </w:pPr>
            <w:r>
              <w:rPr>
                <w:rFonts w:ascii="宋体" w:hAnsi="宋体" w:eastAsia="宋体" w:cs="宋体"/>
                <w:kern w:val="0"/>
                <w:szCs w:val="21"/>
              </w:rPr>
              <w:t>%</w:t>
            </w:r>
          </w:p>
        </w:tc>
        <w:tc>
          <w:tcPr>
            <w:tcW w:w="668" w:type="pct"/>
            <w:vAlign w:val="center"/>
          </w:tcPr>
          <w:p>
            <w:pPr>
              <w:widowControl/>
              <w:snapToGrid w:val="0"/>
              <w:jc w:val="center"/>
              <w:rPr>
                <w:rFonts w:ascii="宋体" w:hAnsi="宋体" w:cs="宋体"/>
                <w:kern w:val="0"/>
                <w:szCs w:val="21"/>
              </w:rPr>
            </w:pPr>
            <w:r>
              <w:rPr>
                <w:rFonts w:hint="eastAsia" w:ascii="宋体" w:hAnsi="宋体" w:cs="宋体"/>
                <w:kern w:val="0"/>
                <w:szCs w:val="21"/>
              </w:rPr>
              <w:t>75</w:t>
            </w:r>
          </w:p>
        </w:tc>
        <w:tc>
          <w:tcPr>
            <w:tcW w:w="608" w:type="pct"/>
            <w:vAlign w:val="center"/>
          </w:tcPr>
          <w:p>
            <w:pPr>
              <w:widowControl/>
              <w:snapToGrid w:val="0"/>
              <w:jc w:val="center"/>
              <w:rPr>
                <w:rFonts w:ascii="宋体" w:hAnsi="宋体" w:cs="宋体"/>
                <w:kern w:val="0"/>
                <w:szCs w:val="21"/>
              </w:rPr>
            </w:pPr>
            <w:r>
              <w:rPr>
                <w:rFonts w:hint="eastAsia" w:ascii="宋体" w:hAnsi="宋体" w:cs="宋体"/>
                <w:kern w:val="0"/>
                <w:szCs w:val="21"/>
              </w:rPr>
              <w:t>85</w:t>
            </w:r>
          </w:p>
        </w:tc>
        <w:tc>
          <w:tcPr>
            <w:tcW w:w="598" w:type="pct"/>
            <w:vAlign w:val="center"/>
          </w:tcPr>
          <w:p>
            <w:pPr>
              <w:widowControl/>
              <w:snapToGrid w:val="0"/>
              <w:jc w:val="center"/>
              <w:rPr>
                <w:rFonts w:ascii="宋体" w:hAnsi="宋体" w:eastAsia="宋体" w:cs="宋体"/>
                <w:kern w:val="0"/>
                <w:szCs w:val="21"/>
              </w:rPr>
            </w:pPr>
            <w:r>
              <w:rPr>
                <w:rFonts w:hint="eastAsia" w:ascii="宋体" w:hAnsi="宋体" w:eastAsia="宋体" w:cs="宋体"/>
                <w:kern w:val="0"/>
                <w:szCs w:val="21"/>
              </w:rPr>
              <w:t>约束性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550" w:type="pct"/>
            <w:vMerge w:val="continue"/>
            <w:vAlign w:val="center"/>
          </w:tcPr>
          <w:p>
            <w:pPr>
              <w:widowControl/>
              <w:snapToGrid w:val="0"/>
              <w:ind w:left="-199" w:firstLine="369" w:firstLineChars="176"/>
              <w:jc w:val="center"/>
              <w:rPr>
                <w:rFonts w:ascii="宋体" w:hAnsi="宋体" w:eastAsia="宋体" w:cs="宋体"/>
                <w:kern w:val="0"/>
                <w:szCs w:val="21"/>
              </w:rPr>
            </w:pPr>
          </w:p>
        </w:tc>
        <w:tc>
          <w:tcPr>
            <w:tcW w:w="404" w:type="pct"/>
            <w:vAlign w:val="center"/>
          </w:tcPr>
          <w:p>
            <w:pPr>
              <w:widowControl/>
              <w:snapToGrid w:val="0"/>
              <w:jc w:val="center"/>
              <w:rPr>
                <w:szCs w:val="21"/>
              </w:rPr>
            </w:pPr>
            <w:r>
              <w:rPr>
                <w:rFonts w:hint="eastAsia"/>
                <w:szCs w:val="21"/>
              </w:rPr>
              <w:t>17</w:t>
            </w:r>
          </w:p>
        </w:tc>
        <w:tc>
          <w:tcPr>
            <w:tcW w:w="1695" w:type="pct"/>
            <w:vAlign w:val="center"/>
          </w:tcPr>
          <w:p>
            <w:pPr>
              <w:widowControl/>
              <w:snapToGrid w:val="0"/>
              <w:jc w:val="left"/>
              <w:rPr>
                <w:rFonts w:ascii="宋体" w:hAnsi="宋体" w:eastAsia="宋体" w:cs="宋体"/>
                <w:kern w:val="0"/>
                <w:szCs w:val="21"/>
              </w:rPr>
            </w:pPr>
            <w:r>
              <w:rPr>
                <w:rFonts w:hint="eastAsia" w:ascii="宋体" w:hAnsi="宋体" w:eastAsia="宋体" w:cs="宋体"/>
                <w:kern w:val="0"/>
                <w:szCs w:val="21"/>
              </w:rPr>
              <w:t>农田灌溉水有效利用系数</w:t>
            </w:r>
          </w:p>
        </w:tc>
        <w:tc>
          <w:tcPr>
            <w:tcW w:w="477" w:type="pct"/>
            <w:vAlign w:val="center"/>
          </w:tcPr>
          <w:p>
            <w:pPr>
              <w:widowControl/>
              <w:snapToGrid w:val="0"/>
              <w:jc w:val="center"/>
              <w:rPr>
                <w:rFonts w:ascii="宋体" w:hAnsi="宋体" w:eastAsia="宋体" w:cs="宋体"/>
                <w:kern w:val="0"/>
                <w:szCs w:val="21"/>
              </w:rPr>
            </w:pPr>
            <w:r>
              <w:rPr>
                <w:rFonts w:ascii="宋体" w:hAnsi="宋体" w:eastAsia="宋体" w:cs="宋体"/>
                <w:kern w:val="0"/>
                <w:szCs w:val="21"/>
              </w:rPr>
              <w:t>-</w:t>
            </w:r>
          </w:p>
        </w:tc>
        <w:tc>
          <w:tcPr>
            <w:tcW w:w="668" w:type="pct"/>
            <w:vAlign w:val="center"/>
          </w:tcPr>
          <w:p>
            <w:pPr>
              <w:widowControl/>
              <w:snapToGrid w:val="0"/>
              <w:jc w:val="center"/>
              <w:rPr>
                <w:rFonts w:ascii="宋体" w:hAnsi="宋体" w:cs="宋体"/>
                <w:kern w:val="0"/>
                <w:szCs w:val="21"/>
              </w:rPr>
            </w:pPr>
            <w:r>
              <w:rPr>
                <w:rFonts w:hint="eastAsia" w:ascii="宋体" w:hAnsi="宋体" w:cs="宋体"/>
                <w:kern w:val="0"/>
                <w:szCs w:val="21"/>
              </w:rPr>
              <w:t>0.7</w:t>
            </w:r>
          </w:p>
        </w:tc>
        <w:tc>
          <w:tcPr>
            <w:tcW w:w="608" w:type="pct"/>
            <w:vAlign w:val="center"/>
          </w:tcPr>
          <w:p>
            <w:pPr>
              <w:widowControl/>
              <w:snapToGrid w:val="0"/>
              <w:jc w:val="center"/>
              <w:rPr>
                <w:rFonts w:ascii="宋体" w:hAnsi="宋体" w:cs="宋体"/>
                <w:kern w:val="0"/>
                <w:szCs w:val="21"/>
              </w:rPr>
            </w:pPr>
            <w:r>
              <w:rPr>
                <w:rFonts w:hint="eastAsia" w:ascii="宋体" w:hAnsi="宋体" w:cs="宋体"/>
                <w:kern w:val="0"/>
                <w:szCs w:val="21"/>
              </w:rPr>
              <w:t>0.77</w:t>
            </w:r>
          </w:p>
        </w:tc>
        <w:tc>
          <w:tcPr>
            <w:tcW w:w="598" w:type="pct"/>
            <w:vAlign w:val="center"/>
          </w:tcPr>
          <w:p>
            <w:pPr>
              <w:widowControl/>
              <w:snapToGrid w:val="0"/>
              <w:jc w:val="center"/>
              <w:rPr>
                <w:rFonts w:ascii="宋体" w:hAnsi="宋体" w:eastAsia="宋体" w:cs="宋体"/>
                <w:kern w:val="0"/>
                <w:szCs w:val="21"/>
              </w:rPr>
            </w:pPr>
            <w:r>
              <w:rPr>
                <w:rFonts w:hint="eastAsia" w:ascii="宋体" w:hAnsi="宋体" w:eastAsia="宋体" w:cs="宋体"/>
                <w:kern w:val="0"/>
                <w:szCs w:val="21"/>
              </w:rPr>
              <w:t>预期性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550" w:type="pct"/>
            <w:vMerge w:val="continue"/>
            <w:vAlign w:val="center"/>
          </w:tcPr>
          <w:p>
            <w:pPr>
              <w:widowControl/>
              <w:snapToGrid w:val="0"/>
              <w:ind w:left="-199" w:firstLine="369" w:firstLineChars="176"/>
              <w:jc w:val="center"/>
              <w:rPr>
                <w:rFonts w:ascii="宋体" w:hAnsi="宋体" w:eastAsia="宋体" w:cs="宋体"/>
                <w:kern w:val="0"/>
                <w:szCs w:val="21"/>
              </w:rPr>
            </w:pPr>
          </w:p>
        </w:tc>
        <w:tc>
          <w:tcPr>
            <w:tcW w:w="404" w:type="pct"/>
            <w:vAlign w:val="center"/>
          </w:tcPr>
          <w:p>
            <w:pPr>
              <w:widowControl/>
              <w:snapToGrid w:val="0"/>
              <w:jc w:val="center"/>
              <w:rPr>
                <w:szCs w:val="21"/>
              </w:rPr>
            </w:pPr>
            <w:r>
              <w:rPr>
                <w:rFonts w:hint="eastAsia"/>
                <w:szCs w:val="21"/>
              </w:rPr>
              <w:t>18</w:t>
            </w:r>
          </w:p>
        </w:tc>
        <w:tc>
          <w:tcPr>
            <w:tcW w:w="1695" w:type="pct"/>
            <w:vAlign w:val="center"/>
          </w:tcPr>
          <w:p>
            <w:pPr>
              <w:widowControl/>
              <w:snapToGrid w:val="0"/>
              <w:jc w:val="left"/>
              <w:rPr>
                <w:rFonts w:ascii="宋体" w:hAnsi="宋体" w:eastAsia="宋体" w:cs="宋体"/>
                <w:kern w:val="0"/>
                <w:szCs w:val="21"/>
              </w:rPr>
            </w:pPr>
            <w:r>
              <w:rPr>
                <w:rFonts w:hint="eastAsia" w:ascii="宋体" w:hAnsi="宋体" w:eastAsia="宋体" w:cs="宋体"/>
                <w:kern w:val="0"/>
                <w:szCs w:val="21"/>
              </w:rPr>
              <w:t>主要农作物秸秆综合利用率</w:t>
            </w:r>
          </w:p>
        </w:tc>
        <w:tc>
          <w:tcPr>
            <w:tcW w:w="477" w:type="pct"/>
            <w:vAlign w:val="center"/>
          </w:tcPr>
          <w:p>
            <w:pPr>
              <w:widowControl/>
              <w:snapToGrid w:val="0"/>
              <w:jc w:val="center"/>
              <w:rPr>
                <w:rFonts w:ascii="宋体" w:hAnsi="宋体" w:eastAsia="宋体" w:cs="宋体"/>
                <w:kern w:val="0"/>
                <w:szCs w:val="21"/>
              </w:rPr>
            </w:pPr>
            <w:r>
              <w:rPr>
                <w:rFonts w:ascii="宋体" w:hAnsi="宋体" w:eastAsia="宋体" w:cs="宋体"/>
                <w:kern w:val="0"/>
                <w:szCs w:val="21"/>
              </w:rPr>
              <w:t>%</w:t>
            </w:r>
          </w:p>
        </w:tc>
        <w:tc>
          <w:tcPr>
            <w:tcW w:w="668" w:type="pct"/>
            <w:vAlign w:val="center"/>
          </w:tcPr>
          <w:p>
            <w:pPr>
              <w:widowControl/>
              <w:snapToGrid w:val="0"/>
              <w:jc w:val="center"/>
              <w:rPr>
                <w:rFonts w:ascii="宋体" w:hAnsi="宋体" w:cs="宋体"/>
                <w:kern w:val="0"/>
                <w:szCs w:val="21"/>
              </w:rPr>
            </w:pPr>
            <w:r>
              <w:rPr>
                <w:rFonts w:hint="eastAsia" w:ascii="宋体" w:hAnsi="宋体" w:cs="宋体"/>
                <w:kern w:val="0"/>
                <w:szCs w:val="21"/>
              </w:rPr>
              <w:t>99</w:t>
            </w:r>
          </w:p>
        </w:tc>
        <w:tc>
          <w:tcPr>
            <w:tcW w:w="608" w:type="pct"/>
            <w:vAlign w:val="center"/>
          </w:tcPr>
          <w:p>
            <w:pPr>
              <w:widowControl/>
              <w:snapToGrid w:val="0"/>
              <w:jc w:val="center"/>
              <w:rPr>
                <w:rFonts w:ascii="宋体" w:hAnsi="宋体" w:cs="宋体"/>
                <w:kern w:val="0"/>
                <w:szCs w:val="21"/>
              </w:rPr>
            </w:pPr>
            <w:r>
              <w:rPr>
                <w:rFonts w:hint="eastAsia" w:ascii="宋体" w:hAnsi="宋体" w:eastAsia="宋体" w:cs="宋体"/>
                <w:kern w:val="0"/>
                <w:szCs w:val="21"/>
              </w:rPr>
              <w:t>&gt;</w:t>
            </w:r>
            <w:r>
              <w:rPr>
                <w:rFonts w:hint="eastAsia" w:ascii="宋体" w:hAnsi="宋体" w:cs="宋体"/>
                <w:kern w:val="0"/>
                <w:szCs w:val="21"/>
              </w:rPr>
              <w:t>99</w:t>
            </w:r>
          </w:p>
        </w:tc>
        <w:tc>
          <w:tcPr>
            <w:tcW w:w="598" w:type="pct"/>
            <w:vAlign w:val="center"/>
          </w:tcPr>
          <w:p>
            <w:pPr>
              <w:widowControl/>
              <w:snapToGrid w:val="0"/>
              <w:jc w:val="center"/>
              <w:rPr>
                <w:rFonts w:ascii="宋体" w:hAnsi="宋体" w:eastAsia="宋体" w:cs="宋体"/>
                <w:kern w:val="0"/>
                <w:szCs w:val="21"/>
              </w:rPr>
            </w:pPr>
            <w:r>
              <w:rPr>
                <w:rFonts w:hint="eastAsia" w:ascii="宋体" w:hAnsi="宋体" w:eastAsia="宋体" w:cs="宋体"/>
                <w:kern w:val="0"/>
                <w:szCs w:val="21"/>
              </w:rPr>
              <w:t>预期性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550" w:type="pct"/>
            <w:vMerge w:val="continue"/>
            <w:vAlign w:val="center"/>
          </w:tcPr>
          <w:p>
            <w:pPr>
              <w:widowControl/>
              <w:snapToGrid w:val="0"/>
              <w:ind w:left="-199" w:firstLine="369" w:firstLineChars="176"/>
              <w:jc w:val="center"/>
              <w:rPr>
                <w:rFonts w:ascii="宋体" w:hAnsi="宋体" w:eastAsia="宋体" w:cs="宋体"/>
                <w:kern w:val="0"/>
                <w:szCs w:val="21"/>
              </w:rPr>
            </w:pPr>
          </w:p>
        </w:tc>
        <w:tc>
          <w:tcPr>
            <w:tcW w:w="404" w:type="pct"/>
            <w:vAlign w:val="center"/>
          </w:tcPr>
          <w:p>
            <w:pPr>
              <w:widowControl/>
              <w:snapToGrid w:val="0"/>
              <w:jc w:val="center"/>
              <w:rPr>
                <w:szCs w:val="21"/>
              </w:rPr>
            </w:pPr>
            <w:r>
              <w:rPr>
                <w:rFonts w:hint="eastAsia"/>
                <w:szCs w:val="21"/>
              </w:rPr>
              <w:t>19</w:t>
            </w:r>
          </w:p>
        </w:tc>
        <w:tc>
          <w:tcPr>
            <w:tcW w:w="1695" w:type="pct"/>
            <w:vAlign w:val="center"/>
          </w:tcPr>
          <w:p>
            <w:pPr>
              <w:widowControl/>
              <w:snapToGrid w:val="0"/>
              <w:jc w:val="left"/>
              <w:rPr>
                <w:rFonts w:ascii="宋体" w:hAnsi="宋体" w:eastAsia="宋体" w:cs="宋体"/>
                <w:kern w:val="0"/>
                <w:szCs w:val="21"/>
              </w:rPr>
            </w:pPr>
            <w:r>
              <w:rPr>
                <w:rFonts w:hint="eastAsia" w:ascii="宋体" w:hAnsi="宋体" w:eastAsia="宋体" w:cs="宋体"/>
                <w:kern w:val="0"/>
                <w:szCs w:val="21"/>
              </w:rPr>
              <w:t>主要</w:t>
            </w:r>
            <w:r>
              <w:rPr>
                <w:rFonts w:ascii="宋体" w:hAnsi="宋体" w:eastAsia="宋体" w:cs="宋体"/>
                <w:kern w:val="0"/>
                <w:szCs w:val="21"/>
              </w:rPr>
              <w:t>农作物化肥</w:t>
            </w:r>
            <w:r>
              <w:rPr>
                <w:rFonts w:hint="eastAsia" w:ascii="宋体" w:hAnsi="宋体" w:eastAsia="宋体" w:cs="宋体"/>
                <w:kern w:val="0"/>
                <w:szCs w:val="21"/>
              </w:rPr>
              <w:t>利用率</w:t>
            </w:r>
          </w:p>
        </w:tc>
        <w:tc>
          <w:tcPr>
            <w:tcW w:w="477" w:type="pct"/>
            <w:vAlign w:val="center"/>
          </w:tcPr>
          <w:p>
            <w:pPr>
              <w:widowControl/>
              <w:snapToGrid w:val="0"/>
              <w:jc w:val="center"/>
              <w:rPr>
                <w:rFonts w:ascii="宋体" w:hAnsi="宋体" w:eastAsia="宋体" w:cs="宋体"/>
                <w:kern w:val="0"/>
                <w:szCs w:val="21"/>
              </w:rPr>
            </w:pPr>
            <w:r>
              <w:rPr>
                <w:rFonts w:ascii="宋体" w:hAnsi="宋体" w:eastAsia="宋体" w:cs="宋体"/>
                <w:kern w:val="0"/>
                <w:szCs w:val="21"/>
              </w:rPr>
              <w:t>%</w:t>
            </w:r>
          </w:p>
        </w:tc>
        <w:tc>
          <w:tcPr>
            <w:tcW w:w="668" w:type="pct"/>
            <w:vAlign w:val="center"/>
          </w:tcPr>
          <w:p>
            <w:pPr>
              <w:widowControl/>
              <w:snapToGrid w:val="0"/>
              <w:jc w:val="center"/>
              <w:rPr>
                <w:rFonts w:ascii="宋体" w:hAnsi="宋体" w:cs="宋体"/>
                <w:kern w:val="0"/>
                <w:szCs w:val="21"/>
              </w:rPr>
            </w:pPr>
            <w:r>
              <w:rPr>
                <w:rFonts w:hint="eastAsia" w:ascii="宋体" w:hAnsi="宋体" w:cs="宋体"/>
                <w:kern w:val="0"/>
                <w:szCs w:val="21"/>
              </w:rPr>
              <w:t>氮45</w:t>
            </w:r>
          </w:p>
          <w:p>
            <w:pPr>
              <w:widowControl/>
              <w:snapToGrid w:val="0"/>
              <w:jc w:val="center"/>
              <w:rPr>
                <w:rFonts w:ascii="宋体" w:hAnsi="宋体" w:cs="宋体"/>
                <w:kern w:val="0"/>
                <w:szCs w:val="21"/>
              </w:rPr>
            </w:pPr>
            <w:r>
              <w:rPr>
                <w:rFonts w:hint="eastAsia" w:ascii="宋体" w:hAnsi="宋体" w:cs="宋体"/>
                <w:kern w:val="0"/>
                <w:szCs w:val="21"/>
              </w:rPr>
              <w:t>磷15</w:t>
            </w:r>
          </w:p>
          <w:p>
            <w:pPr>
              <w:widowControl/>
              <w:snapToGrid w:val="0"/>
              <w:jc w:val="center"/>
              <w:rPr>
                <w:rFonts w:ascii="宋体" w:hAnsi="宋体" w:cs="宋体"/>
                <w:kern w:val="0"/>
                <w:szCs w:val="21"/>
              </w:rPr>
            </w:pPr>
            <w:r>
              <w:rPr>
                <w:rFonts w:hint="eastAsia" w:ascii="宋体" w:hAnsi="宋体" w:cs="宋体"/>
                <w:kern w:val="0"/>
                <w:szCs w:val="21"/>
              </w:rPr>
              <w:t>钾40</w:t>
            </w:r>
          </w:p>
        </w:tc>
        <w:tc>
          <w:tcPr>
            <w:tcW w:w="608" w:type="pct"/>
            <w:vAlign w:val="center"/>
          </w:tcPr>
          <w:p>
            <w:pPr>
              <w:widowControl/>
              <w:snapToGrid w:val="0"/>
              <w:jc w:val="center"/>
              <w:rPr>
                <w:rFonts w:ascii="宋体" w:hAnsi="宋体" w:cs="宋体"/>
                <w:kern w:val="0"/>
                <w:szCs w:val="21"/>
              </w:rPr>
            </w:pPr>
            <w:r>
              <w:rPr>
                <w:rFonts w:hint="eastAsia" w:ascii="宋体" w:hAnsi="宋体" w:cs="宋体"/>
                <w:kern w:val="0"/>
                <w:szCs w:val="21"/>
              </w:rPr>
              <w:t>氮</w:t>
            </w:r>
            <w:r>
              <w:rPr>
                <w:rFonts w:hint="eastAsia" w:ascii="宋体" w:hAnsi="宋体" w:eastAsia="宋体" w:cs="宋体"/>
                <w:kern w:val="0"/>
                <w:szCs w:val="21"/>
              </w:rPr>
              <w:t>&gt;</w:t>
            </w:r>
            <w:r>
              <w:rPr>
                <w:rFonts w:hint="eastAsia" w:ascii="宋体" w:hAnsi="宋体" w:cs="宋体"/>
                <w:kern w:val="0"/>
                <w:szCs w:val="21"/>
              </w:rPr>
              <w:t>45</w:t>
            </w:r>
          </w:p>
          <w:p>
            <w:pPr>
              <w:widowControl/>
              <w:snapToGrid w:val="0"/>
              <w:jc w:val="center"/>
              <w:rPr>
                <w:rFonts w:ascii="宋体" w:hAnsi="宋体" w:cs="宋体"/>
                <w:kern w:val="0"/>
                <w:szCs w:val="21"/>
              </w:rPr>
            </w:pPr>
            <w:r>
              <w:rPr>
                <w:rFonts w:hint="eastAsia" w:ascii="宋体" w:hAnsi="宋体" w:cs="宋体"/>
                <w:kern w:val="0"/>
                <w:szCs w:val="21"/>
              </w:rPr>
              <w:t>磷</w:t>
            </w:r>
            <w:r>
              <w:rPr>
                <w:rFonts w:hint="eastAsia" w:ascii="宋体" w:hAnsi="宋体" w:eastAsia="宋体" w:cs="宋体"/>
                <w:kern w:val="0"/>
                <w:szCs w:val="21"/>
              </w:rPr>
              <w:t>&gt;</w:t>
            </w:r>
            <w:r>
              <w:rPr>
                <w:rFonts w:hint="eastAsia" w:ascii="宋体" w:hAnsi="宋体" w:cs="宋体"/>
                <w:kern w:val="0"/>
                <w:szCs w:val="21"/>
              </w:rPr>
              <w:t>15</w:t>
            </w:r>
          </w:p>
          <w:p>
            <w:pPr>
              <w:widowControl/>
              <w:snapToGrid w:val="0"/>
              <w:jc w:val="center"/>
              <w:rPr>
                <w:rFonts w:ascii="宋体" w:hAnsi="宋体" w:cs="宋体"/>
                <w:kern w:val="0"/>
                <w:szCs w:val="21"/>
              </w:rPr>
            </w:pPr>
            <w:r>
              <w:rPr>
                <w:rFonts w:hint="eastAsia" w:ascii="宋体" w:hAnsi="宋体" w:cs="宋体"/>
                <w:kern w:val="0"/>
                <w:szCs w:val="21"/>
              </w:rPr>
              <w:t>钾</w:t>
            </w:r>
            <w:r>
              <w:rPr>
                <w:rFonts w:hint="eastAsia" w:ascii="宋体" w:hAnsi="宋体" w:eastAsia="宋体" w:cs="宋体"/>
                <w:kern w:val="0"/>
                <w:szCs w:val="21"/>
              </w:rPr>
              <w:t>&gt;</w:t>
            </w:r>
            <w:r>
              <w:rPr>
                <w:rFonts w:hint="eastAsia" w:ascii="宋体" w:hAnsi="宋体" w:cs="宋体"/>
                <w:kern w:val="0"/>
                <w:szCs w:val="21"/>
              </w:rPr>
              <w:t>40</w:t>
            </w:r>
          </w:p>
        </w:tc>
        <w:tc>
          <w:tcPr>
            <w:tcW w:w="598" w:type="pct"/>
            <w:vAlign w:val="center"/>
          </w:tcPr>
          <w:p>
            <w:pPr>
              <w:widowControl/>
              <w:snapToGrid w:val="0"/>
              <w:jc w:val="center"/>
              <w:rPr>
                <w:rFonts w:ascii="宋体" w:hAnsi="宋体" w:eastAsia="宋体" w:cs="宋体"/>
                <w:kern w:val="0"/>
                <w:szCs w:val="21"/>
              </w:rPr>
            </w:pPr>
            <w:r>
              <w:rPr>
                <w:rFonts w:hint="eastAsia" w:ascii="宋体" w:hAnsi="宋体" w:eastAsia="宋体" w:cs="宋体"/>
                <w:kern w:val="0"/>
                <w:szCs w:val="21"/>
              </w:rPr>
              <w:t>约束性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550" w:type="pct"/>
            <w:vMerge w:val="continue"/>
            <w:vAlign w:val="center"/>
          </w:tcPr>
          <w:p>
            <w:pPr>
              <w:widowControl/>
              <w:snapToGrid w:val="0"/>
              <w:ind w:left="-199" w:firstLine="369" w:firstLineChars="176"/>
              <w:jc w:val="center"/>
              <w:rPr>
                <w:rFonts w:ascii="宋体" w:hAnsi="宋体" w:eastAsia="宋体" w:cs="宋体"/>
                <w:kern w:val="0"/>
                <w:szCs w:val="21"/>
              </w:rPr>
            </w:pPr>
          </w:p>
        </w:tc>
        <w:tc>
          <w:tcPr>
            <w:tcW w:w="404" w:type="pct"/>
            <w:vAlign w:val="center"/>
          </w:tcPr>
          <w:p>
            <w:pPr>
              <w:widowControl/>
              <w:snapToGrid w:val="0"/>
              <w:jc w:val="center"/>
              <w:rPr>
                <w:szCs w:val="21"/>
              </w:rPr>
            </w:pPr>
            <w:r>
              <w:rPr>
                <w:rFonts w:hint="eastAsia"/>
                <w:szCs w:val="21"/>
              </w:rPr>
              <w:t>20</w:t>
            </w:r>
          </w:p>
        </w:tc>
        <w:tc>
          <w:tcPr>
            <w:tcW w:w="1695" w:type="pct"/>
            <w:vAlign w:val="center"/>
          </w:tcPr>
          <w:p>
            <w:pPr>
              <w:widowControl/>
              <w:snapToGrid w:val="0"/>
              <w:jc w:val="left"/>
              <w:rPr>
                <w:rFonts w:ascii="宋体" w:hAnsi="宋体" w:eastAsia="宋体" w:cs="宋体"/>
                <w:kern w:val="0"/>
                <w:szCs w:val="21"/>
              </w:rPr>
            </w:pPr>
            <w:r>
              <w:rPr>
                <w:rFonts w:hint="eastAsia" w:ascii="宋体" w:hAnsi="宋体" w:eastAsia="宋体" w:cs="宋体"/>
                <w:kern w:val="0"/>
                <w:szCs w:val="21"/>
              </w:rPr>
              <w:t>主要</w:t>
            </w:r>
            <w:r>
              <w:rPr>
                <w:rFonts w:ascii="宋体" w:hAnsi="宋体" w:eastAsia="宋体" w:cs="宋体"/>
                <w:kern w:val="0"/>
                <w:szCs w:val="21"/>
              </w:rPr>
              <w:t>农作物农药</w:t>
            </w:r>
            <w:r>
              <w:rPr>
                <w:rFonts w:hint="eastAsia" w:ascii="宋体" w:hAnsi="宋体" w:eastAsia="宋体" w:cs="宋体"/>
                <w:kern w:val="0"/>
                <w:szCs w:val="21"/>
              </w:rPr>
              <w:t>利用率</w:t>
            </w:r>
          </w:p>
        </w:tc>
        <w:tc>
          <w:tcPr>
            <w:tcW w:w="477" w:type="pct"/>
            <w:vAlign w:val="center"/>
          </w:tcPr>
          <w:p>
            <w:pPr>
              <w:widowControl/>
              <w:snapToGrid w:val="0"/>
              <w:jc w:val="center"/>
              <w:rPr>
                <w:rFonts w:ascii="宋体" w:hAnsi="宋体" w:eastAsia="宋体" w:cs="宋体"/>
                <w:kern w:val="0"/>
                <w:szCs w:val="21"/>
              </w:rPr>
            </w:pPr>
            <w:r>
              <w:rPr>
                <w:rFonts w:ascii="宋体" w:hAnsi="宋体" w:eastAsia="宋体" w:cs="宋体"/>
                <w:kern w:val="0"/>
                <w:szCs w:val="21"/>
              </w:rPr>
              <w:t>%</w:t>
            </w:r>
          </w:p>
        </w:tc>
        <w:tc>
          <w:tcPr>
            <w:tcW w:w="668" w:type="pct"/>
            <w:vAlign w:val="center"/>
          </w:tcPr>
          <w:p>
            <w:pPr>
              <w:widowControl/>
              <w:snapToGrid w:val="0"/>
              <w:jc w:val="center"/>
              <w:rPr>
                <w:rFonts w:ascii="宋体" w:hAnsi="宋体" w:eastAsia="宋体" w:cs="宋体"/>
                <w:kern w:val="0"/>
                <w:szCs w:val="21"/>
              </w:rPr>
            </w:pPr>
            <w:r>
              <w:rPr>
                <w:rFonts w:hint="eastAsia" w:ascii="宋体" w:hAnsi="宋体" w:eastAsia="宋体" w:cs="宋体"/>
                <w:kern w:val="0"/>
                <w:szCs w:val="21"/>
              </w:rPr>
              <w:t>44.22</w:t>
            </w:r>
          </w:p>
        </w:tc>
        <w:tc>
          <w:tcPr>
            <w:tcW w:w="608" w:type="pct"/>
            <w:vAlign w:val="center"/>
          </w:tcPr>
          <w:p>
            <w:pPr>
              <w:widowControl/>
              <w:snapToGrid w:val="0"/>
              <w:jc w:val="center"/>
              <w:rPr>
                <w:rFonts w:ascii="宋体" w:hAnsi="宋体" w:eastAsia="宋体" w:cs="宋体"/>
                <w:kern w:val="0"/>
                <w:szCs w:val="21"/>
              </w:rPr>
            </w:pPr>
            <w:r>
              <w:rPr>
                <w:rFonts w:hint="eastAsia" w:ascii="宋体" w:hAnsi="宋体" w:eastAsia="宋体" w:cs="宋体"/>
                <w:kern w:val="0"/>
                <w:szCs w:val="21"/>
              </w:rPr>
              <w:t>&gt;50</w:t>
            </w:r>
          </w:p>
        </w:tc>
        <w:tc>
          <w:tcPr>
            <w:tcW w:w="598" w:type="pct"/>
            <w:vAlign w:val="center"/>
          </w:tcPr>
          <w:p>
            <w:pPr>
              <w:widowControl/>
              <w:snapToGrid w:val="0"/>
              <w:jc w:val="center"/>
              <w:rPr>
                <w:rFonts w:ascii="宋体" w:hAnsi="宋体" w:eastAsia="宋体" w:cs="宋体"/>
                <w:kern w:val="0"/>
                <w:szCs w:val="21"/>
              </w:rPr>
            </w:pPr>
            <w:r>
              <w:rPr>
                <w:rFonts w:hint="eastAsia" w:ascii="宋体" w:hAnsi="宋体" w:eastAsia="宋体" w:cs="宋体"/>
                <w:kern w:val="0"/>
                <w:szCs w:val="21"/>
              </w:rPr>
              <w:t>约束性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550" w:type="pct"/>
            <w:vMerge w:val="continue"/>
            <w:vAlign w:val="center"/>
          </w:tcPr>
          <w:p>
            <w:pPr>
              <w:widowControl/>
              <w:snapToGrid w:val="0"/>
              <w:ind w:left="-199" w:firstLine="369" w:firstLineChars="176"/>
              <w:jc w:val="center"/>
              <w:rPr>
                <w:rFonts w:ascii="宋体" w:hAnsi="宋体" w:eastAsia="宋体" w:cs="宋体"/>
                <w:kern w:val="0"/>
                <w:szCs w:val="21"/>
              </w:rPr>
            </w:pPr>
          </w:p>
        </w:tc>
        <w:tc>
          <w:tcPr>
            <w:tcW w:w="404" w:type="pct"/>
            <w:vAlign w:val="center"/>
          </w:tcPr>
          <w:p>
            <w:pPr>
              <w:widowControl/>
              <w:snapToGrid w:val="0"/>
              <w:jc w:val="center"/>
              <w:rPr>
                <w:szCs w:val="21"/>
              </w:rPr>
            </w:pPr>
            <w:r>
              <w:rPr>
                <w:rFonts w:hint="eastAsia"/>
                <w:szCs w:val="21"/>
              </w:rPr>
              <w:t>21</w:t>
            </w:r>
          </w:p>
        </w:tc>
        <w:tc>
          <w:tcPr>
            <w:tcW w:w="1695" w:type="pct"/>
            <w:vAlign w:val="center"/>
          </w:tcPr>
          <w:p>
            <w:pPr>
              <w:widowControl/>
              <w:snapToGrid w:val="0"/>
              <w:jc w:val="left"/>
              <w:rPr>
                <w:rFonts w:ascii="宋体" w:hAnsi="宋体" w:eastAsia="宋体" w:cs="宋体"/>
                <w:kern w:val="0"/>
                <w:szCs w:val="21"/>
              </w:rPr>
            </w:pPr>
            <w:r>
              <w:rPr>
                <w:rFonts w:hint="eastAsia" w:ascii="宋体" w:hAnsi="宋体" w:eastAsia="宋体" w:cs="宋体"/>
                <w:kern w:val="0"/>
                <w:szCs w:val="21"/>
              </w:rPr>
              <w:t>农</w:t>
            </w:r>
            <w:r>
              <w:rPr>
                <w:rFonts w:ascii="宋体" w:hAnsi="宋体" w:eastAsia="宋体" w:cs="宋体"/>
                <w:kern w:val="0"/>
                <w:szCs w:val="21"/>
              </w:rPr>
              <w:t>田残膜回收率</w:t>
            </w:r>
          </w:p>
        </w:tc>
        <w:tc>
          <w:tcPr>
            <w:tcW w:w="477" w:type="pct"/>
            <w:vAlign w:val="center"/>
          </w:tcPr>
          <w:p>
            <w:pPr>
              <w:widowControl/>
              <w:snapToGrid w:val="0"/>
              <w:jc w:val="center"/>
              <w:rPr>
                <w:rFonts w:ascii="宋体" w:hAnsi="宋体" w:eastAsia="宋体" w:cs="宋体"/>
                <w:kern w:val="0"/>
                <w:szCs w:val="21"/>
              </w:rPr>
            </w:pPr>
            <w:r>
              <w:rPr>
                <w:rFonts w:hint="eastAsia" w:ascii="宋体" w:hAnsi="宋体" w:eastAsia="宋体" w:cs="宋体"/>
                <w:kern w:val="0"/>
                <w:szCs w:val="21"/>
              </w:rPr>
              <w:t>%</w:t>
            </w:r>
          </w:p>
        </w:tc>
        <w:tc>
          <w:tcPr>
            <w:tcW w:w="668" w:type="pct"/>
            <w:vAlign w:val="center"/>
          </w:tcPr>
          <w:p>
            <w:pPr>
              <w:widowControl/>
              <w:snapToGrid w:val="0"/>
              <w:jc w:val="center"/>
              <w:rPr>
                <w:rFonts w:ascii="宋体" w:hAnsi="宋体" w:eastAsia="宋体" w:cs="宋体"/>
                <w:kern w:val="0"/>
                <w:szCs w:val="21"/>
              </w:rPr>
            </w:pPr>
            <w:r>
              <w:rPr>
                <w:rFonts w:hint="eastAsia" w:ascii="宋体" w:hAnsi="宋体" w:eastAsia="宋体" w:cs="宋体"/>
                <w:kern w:val="0"/>
                <w:szCs w:val="21"/>
              </w:rPr>
              <w:t>80</w:t>
            </w:r>
          </w:p>
        </w:tc>
        <w:tc>
          <w:tcPr>
            <w:tcW w:w="608" w:type="pct"/>
            <w:vAlign w:val="center"/>
          </w:tcPr>
          <w:p>
            <w:pPr>
              <w:widowControl/>
              <w:snapToGrid w:val="0"/>
              <w:jc w:val="center"/>
              <w:rPr>
                <w:rFonts w:ascii="宋体" w:hAnsi="宋体" w:eastAsia="宋体" w:cs="宋体"/>
                <w:kern w:val="0"/>
                <w:szCs w:val="21"/>
              </w:rPr>
            </w:pPr>
            <w:r>
              <w:rPr>
                <w:rFonts w:hint="eastAsia" w:ascii="宋体" w:hAnsi="宋体" w:eastAsia="宋体" w:cs="宋体"/>
                <w:kern w:val="0"/>
                <w:szCs w:val="21"/>
              </w:rPr>
              <w:t>&gt;</w:t>
            </w:r>
            <w:r>
              <w:rPr>
                <w:rFonts w:ascii="宋体" w:hAnsi="宋体" w:eastAsia="宋体" w:cs="宋体"/>
                <w:kern w:val="0"/>
                <w:szCs w:val="21"/>
              </w:rPr>
              <w:t>99</w:t>
            </w:r>
          </w:p>
        </w:tc>
        <w:tc>
          <w:tcPr>
            <w:tcW w:w="598" w:type="pct"/>
            <w:vAlign w:val="center"/>
          </w:tcPr>
          <w:p>
            <w:pPr>
              <w:widowControl/>
              <w:snapToGrid w:val="0"/>
              <w:jc w:val="center"/>
              <w:rPr>
                <w:rFonts w:ascii="宋体" w:hAnsi="宋体" w:eastAsia="宋体" w:cs="宋体"/>
                <w:kern w:val="0"/>
                <w:szCs w:val="21"/>
              </w:rPr>
            </w:pPr>
            <w:r>
              <w:rPr>
                <w:rFonts w:hint="eastAsia" w:ascii="宋体" w:hAnsi="宋体" w:eastAsia="宋体" w:cs="宋体"/>
                <w:kern w:val="0"/>
                <w:szCs w:val="21"/>
              </w:rPr>
              <w:t>预期性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550" w:type="pct"/>
            <w:vAlign w:val="center"/>
          </w:tcPr>
          <w:p>
            <w:pPr>
              <w:widowControl/>
              <w:snapToGrid w:val="0"/>
              <w:ind w:left="-199"/>
              <w:jc w:val="right"/>
              <w:rPr>
                <w:rFonts w:ascii="宋体" w:hAnsi="宋体" w:eastAsia="宋体" w:cs="宋体"/>
                <w:kern w:val="0"/>
                <w:szCs w:val="21"/>
              </w:rPr>
            </w:pPr>
            <w:r>
              <w:rPr>
                <w:rFonts w:hint="eastAsia" w:ascii="宋体" w:hAnsi="宋体" w:eastAsia="宋体" w:cs="宋体"/>
                <w:kern w:val="0"/>
                <w:szCs w:val="21"/>
              </w:rPr>
              <w:t>文化繁荣</w:t>
            </w:r>
          </w:p>
        </w:tc>
        <w:tc>
          <w:tcPr>
            <w:tcW w:w="404" w:type="pct"/>
            <w:vAlign w:val="center"/>
          </w:tcPr>
          <w:p>
            <w:pPr>
              <w:widowControl/>
              <w:snapToGrid w:val="0"/>
              <w:jc w:val="center"/>
              <w:rPr>
                <w:szCs w:val="21"/>
              </w:rPr>
            </w:pPr>
            <w:r>
              <w:rPr>
                <w:rFonts w:hint="eastAsia"/>
                <w:szCs w:val="21"/>
              </w:rPr>
              <w:t>22</w:t>
            </w:r>
          </w:p>
        </w:tc>
        <w:tc>
          <w:tcPr>
            <w:tcW w:w="1695" w:type="pct"/>
            <w:vAlign w:val="center"/>
          </w:tcPr>
          <w:p>
            <w:pPr>
              <w:widowControl/>
              <w:snapToGrid w:val="0"/>
              <w:jc w:val="left"/>
              <w:rPr>
                <w:rFonts w:ascii="宋体" w:hAnsi="宋体" w:eastAsia="宋体" w:cs="宋体"/>
                <w:kern w:val="0"/>
                <w:szCs w:val="21"/>
              </w:rPr>
            </w:pPr>
            <w:r>
              <w:rPr>
                <w:rFonts w:hint="eastAsia" w:ascii="宋体" w:hAnsi="宋体" w:eastAsia="宋体" w:cs="宋体"/>
                <w:kern w:val="0"/>
                <w:szCs w:val="21"/>
              </w:rPr>
              <w:t>综合性文化服务中心覆盖率</w:t>
            </w:r>
          </w:p>
        </w:tc>
        <w:tc>
          <w:tcPr>
            <w:tcW w:w="477" w:type="pct"/>
            <w:vAlign w:val="center"/>
          </w:tcPr>
          <w:p>
            <w:pPr>
              <w:widowControl/>
              <w:snapToGrid w:val="0"/>
              <w:jc w:val="center"/>
              <w:rPr>
                <w:rFonts w:ascii="宋体" w:hAnsi="宋体" w:eastAsia="宋体" w:cs="宋体"/>
                <w:kern w:val="0"/>
                <w:szCs w:val="21"/>
              </w:rPr>
            </w:pPr>
            <w:r>
              <w:rPr>
                <w:rFonts w:hint="eastAsia" w:ascii="宋体" w:hAnsi="宋体" w:eastAsia="宋体" w:cs="宋体"/>
                <w:kern w:val="0"/>
                <w:szCs w:val="21"/>
              </w:rPr>
              <w:t>%</w:t>
            </w:r>
          </w:p>
        </w:tc>
        <w:tc>
          <w:tcPr>
            <w:tcW w:w="668" w:type="pct"/>
            <w:vAlign w:val="center"/>
          </w:tcPr>
          <w:p>
            <w:pPr>
              <w:widowControl/>
              <w:snapToGrid w:val="0"/>
              <w:jc w:val="center"/>
              <w:rPr>
                <w:rFonts w:ascii="宋体" w:hAnsi="宋体" w:eastAsia="宋体" w:cs="宋体"/>
                <w:kern w:val="0"/>
                <w:szCs w:val="21"/>
              </w:rPr>
            </w:pPr>
            <w:r>
              <w:rPr>
                <w:rFonts w:hint="eastAsia" w:ascii="宋体" w:hAnsi="宋体" w:eastAsia="宋体" w:cs="宋体"/>
                <w:kern w:val="0"/>
                <w:szCs w:val="21"/>
              </w:rPr>
              <w:t>100</w:t>
            </w:r>
          </w:p>
        </w:tc>
        <w:tc>
          <w:tcPr>
            <w:tcW w:w="608" w:type="pct"/>
            <w:vAlign w:val="center"/>
          </w:tcPr>
          <w:p>
            <w:pPr>
              <w:widowControl/>
              <w:snapToGrid w:val="0"/>
              <w:jc w:val="center"/>
              <w:rPr>
                <w:rFonts w:ascii="宋体" w:hAnsi="宋体" w:eastAsia="宋体" w:cs="宋体"/>
                <w:kern w:val="0"/>
                <w:szCs w:val="21"/>
              </w:rPr>
            </w:pPr>
            <w:r>
              <w:rPr>
                <w:rFonts w:hint="eastAsia" w:ascii="宋体" w:hAnsi="宋体" w:eastAsia="宋体" w:cs="宋体"/>
                <w:kern w:val="0"/>
                <w:szCs w:val="21"/>
              </w:rPr>
              <w:t>100</w:t>
            </w:r>
          </w:p>
        </w:tc>
        <w:tc>
          <w:tcPr>
            <w:tcW w:w="598" w:type="pct"/>
            <w:vAlign w:val="center"/>
          </w:tcPr>
          <w:p>
            <w:pPr>
              <w:widowControl/>
              <w:snapToGrid w:val="0"/>
              <w:jc w:val="center"/>
              <w:rPr>
                <w:rFonts w:ascii="宋体" w:hAnsi="宋体" w:eastAsia="宋体" w:cs="宋体"/>
                <w:kern w:val="0"/>
                <w:szCs w:val="21"/>
              </w:rPr>
            </w:pPr>
            <w:r>
              <w:rPr>
                <w:rFonts w:hint="eastAsia" w:ascii="宋体" w:hAnsi="宋体" w:eastAsia="宋体" w:cs="宋体"/>
                <w:kern w:val="0"/>
                <w:szCs w:val="21"/>
              </w:rPr>
              <w:t>预期性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550" w:type="pct"/>
            <w:vAlign w:val="center"/>
          </w:tcPr>
          <w:p>
            <w:pPr>
              <w:widowControl/>
              <w:snapToGrid w:val="0"/>
              <w:ind w:left="-199"/>
              <w:jc w:val="right"/>
              <w:rPr>
                <w:rFonts w:ascii="宋体" w:hAnsi="宋体" w:eastAsia="宋体" w:cs="宋体"/>
                <w:kern w:val="0"/>
                <w:szCs w:val="21"/>
              </w:rPr>
            </w:pPr>
            <w:r>
              <w:rPr>
                <w:rFonts w:hint="eastAsia" w:ascii="宋体" w:hAnsi="宋体" w:eastAsia="宋体" w:cs="宋体"/>
                <w:kern w:val="0"/>
                <w:szCs w:val="21"/>
              </w:rPr>
              <w:t>治理有效</w:t>
            </w:r>
          </w:p>
        </w:tc>
        <w:tc>
          <w:tcPr>
            <w:tcW w:w="404" w:type="pct"/>
            <w:vAlign w:val="center"/>
          </w:tcPr>
          <w:p>
            <w:pPr>
              <w:widowControl/>
              <w:snapToGrid w:val="0"/>
              <w:jc w:val="center"/>
              <w:rPr>
                <w:szCs w:val="21"/>
              </w:rPr>
            </w:pPr>
            <w:r>
              <w:rPr>
                <w:rFonts w:hint="eastAsia"/>
                <w:szCs w:val="21"/>
              </w:rPr>
              <w:t>23</w:t>
            </w:r>
          </w:p>
        </w:tc>
        <w:tc>
          <w:tcPr>
            <w:tcW w:w="1695" w:type="pct"/>
            <w:vAlign w:val="center"/>
          </w:tcPr>
          <w:p>
            <w:pPr>
              <w:widowControl/>
              <w:snapToGrid w:val="0"/>
              <w:jc w:val="left"/>
              <w:rPr>
                <w:rFonts w:ascii="宋体" w:hAnsi="宋体" w:eastAsia="宋体" w:cs="宋体"/>
                <w:kern w:val="0"/>
                <w:szCs w:val="21"/>
              </w:rPr>
            </w:pPr>
            <w:r>
              <w:rPr>
                <w:rFonts w:hint="eastAsia" w:ascii="宋体" w:hAnsi="宋体" w:eastAsia="宋体" w:cs="宋体"/>
                <w:kern w:val="0"/>
                <w:szCs w:val="21"/>
              </w:rPr>
              <w:t>社区网络化治理覆盖率</w:t>
            </w:r>
          </w:p>
        </w:tc>
        <w:tc>
          <w:tcPr>
            <w:tcW w:w="477" w:type="pct"/>
            <w:vAlign w:val="center"/>
          </w:tcPr>
          <w:p>
            <w:pPr>
              <w:widowControl/>
              <w:snapToGrid w:val="0"/>
              <w:jc w:val="center"/>
              <w:rPr>
                <w:rFonts w:ascii="宋体" w:hAnsi="宋体" w:eastAsia="宋体" w:cs="宋体"/>
                <w:kern w:val="0"/>
                <w:szCs w:val="21"/>
              </w:rPr>
            </w:pPr>
            <w:r>
              <w:rPr>
                <w:rFonts w:ascii="宋体" w:hAnsi="宋体" w:eastAsia="宋体" w:cs="宋体"/>
                <w:kern w:val="0"/>
                <w:szCs w:val="21"/>
              </w:rPr>
              <w:t>%</w:t>
            </w:r>
          </w:p>
        </w:tc>
        <w:tc>
          <w:tcPr>
            <w:tcW w:w="668" w:type="pct"/>
            <w:vAlign w:val="center"/>
          </w:tcPr>
          <w:p>
            <w:pPr>
              <w:widowControl/>
              <w:snapToGrid w:val="0"/>
              <w:jc w:val="center"/>
              <w:rPr>
                <w:rFonts w:ascii="宋体" w:hAnsi="宋体" w:eastAsia="宋体" w:cs="宋体"/>
                <w:kern w:val="0"/>
                <w:szCs w:val="21"/>
              </w:rPr>
            </w:pPr>
            <w:r>
              <w:rPr>
                <w:rFonts w:hint="eastAsia" w:ascii="宋体" w:hAnsi="宋体" w:eastAsia="宋体" w:cs="宋体"/>
                <w:kern w:val="0"/>
                <w:szCs w:val="21"/>
              </w:rPr>
              <w:t>100</w:t>
            </w:r>
          </w:p>
        </w:tc>
        <w:tc>
          <w:tcPr>
            <w:tcW w:w="608" w:type="pct"/>
            <w:vAlign w:val="center"/>
          </w:tcPr>
          <w:p>
            <w:pPr>
              <w:widowControl/>
              <w:snapToGrid w:val="0"/>
              <w:jc w:val="center"/>
              <w:rPr>
                <w:rFonts w:ascii="宋体" w:hAnsi="宋体" w:eastAsia="宋体" w:cs="宋体"/>
                <w:kern w:val="0"/>
                <w:szCs w:val="21"/>
              </w:rPr>
            </w:pPr>
            <w:r>
              <w:rPr>
                <w:rFonts w:hint="eastAsia" w:ascii="宋体" w:hAnsi="宋体" w:eastAsia="宋体" w:cs="宋体"/>
                <w:kern w:val="0"/>
                <w:szCs w:val="21"/>
              </w:rPr>
              <w:t>100</w:t>
            </w:r>
          </w:p>
        </w:tc>
        <w:tc>
          <w:tcPr>
            <w:tcW w:w="598" w:type="pct"/>
            <w:vAlign w:val="center"/>
          </w:tcPr>
          <w:p>
            <w:pPr>
              <w:widowControl/>
              <w:snapToGrid w:val="0"/>
              <w:jc w:val="center"/>
              <w:rPr>
                <w:rFonts w:ascii="宋体" w:hAnsi="宋体" w:eastAsia="宋体" w:cs="宋体"/>
                <w:kern w:val="0"/>
                <w:szCs w:val="21"/>
              </w:rPr>
            </w:pPr>
            <w:r>
              <w:rPr>
                <w:rFonts w:hint="eastAsia" w:ascii="宋体" w:hAnsi="宋体" w:eastAsia="宋体" w:cs="宋体"/>
                <w:kern w:val="0"/>
                <w:szCs w:val="21"/>
              </w:rPr>
              <w:t>预期性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550" w:type="pct"/>
            <w:vMerge w:val="restart"/>
            <w:vAlign w:val="center"/>
          </w:tcPr>
          <w:p>
            <w:pPr>
              <w:snapToGrid w:val="0"/>
              <w:ind w:left="-199"/>
              <w:jc w:val="right"/>
              <w:rPr>
                <w:rFonts w:ascii="宋体" w:hAnsi="宋体" w:eastAsia="宋体" w:cs="宋体"/>
                <w:kern w:val="0"/>
                <w:szCs w:val="21"/>
              </w:rPr>
            </w:pPr>
            <w:r>
              <w:rPr>
                <w:rFonts w:hint="eastAsia" w:ascii="宋体" w:hAnsi="宋体" w:eastAsia="宋体" w:cs="宋体"/>
                <w:kern w:val="0"/>
                <w:szCs w:val="21"/>
              </w:rPr>
              <w:t>民生改善</w:t>
            </w:r>
          </w:p>
        </w:tc>
        <w:tc>
          <w:tcPr>
            <w:tcW w:w="404" w:type="pct"/>
            <w:vAlign w:val="center"/>
          </w:tcPr>
          <w:p>
            <w:pPr>
              <w:widowControl/>
              <w:snapToGrid w:val="0"/>
              <w:jc w:val="center"/>
              <w:rPr>
                <w:szCs w:val="21"/>
              </w:rPr>
            </w:pPr>
            <w:r>
              <w:rPr>
                <w:rFonts w:hint="eastAsia"/>
                <w:szCs w:val="21"/>
              </w:rPr>
              <w:t>24</w:t>
            </w:r>
          </w:p>
        </w:tc>
        <w:tc>
          <w:tcPr>
            <w:tcW w:w="1695" w:type="pct"/>
            <w:vAlign w:val="center"/>
          </w:tcPr>
          <w:p>
            <w:pPr>
              <w:widowControl/>
              <w:snapToGrid w:val="0"/>
              <w:jc w:val="left"/>
              <w:rPr>
                <w:rFonts w:ascii="宋体" w:hAnsi="宋体" w:eastAsia="宋体" w:cs="宋体"/>
                <w:kern w:val="0"/>
                <w:szCs w:val="21"/>
              </w:rPr>
            </w:pPr>
            <w:r>
              <w:rPr>
                <w:rFonts w:hint="eastAsia" w:ascii="宋体" w:hAnsi="宋体" w:eastAsia="宋体" w:cs="宋体"/>
                <w:kern w:val="0"/>
                <w:szCs w:val="21"/>
              </w:rPr>
              <w:t>人均可支配收入</w:t>
            </w:r>
          </w:p>
        </w:tc>
        <w:tc>
          <w:tcPr>
            <w:tcW w:w="477" w:type="pct"/>
            <w:vAlign w:val="center"/>
          </w:tcPr>
          <w:p>
            <w:pPr>
              <w:widowControl/>
              <w:snapToGrid w:val="0"/>
              <w:jc w:val="center"/>
              <w:rPr>
                <w:rFonts w:ascii="宋体" w:hAnsi="宋体" w:eastAsia="宋体" w:cs="宋体"/>
                <w:kern w:val="0"/>
                <w:szCs w:val="21"/>
              </w:rPr>
            </w:pPr>
            <w:r>
              <w:rPr>
                <w:rFonts w:hint="eastAsia" w:ascii="宋体" w:hAnsi="宋体" w:eastAsia="宋体" w:cs="宋体"/>
                <w:kern w:val="0"/>
                <w:szCs w:val="21"/>
              </w:rPr>
              <w:t>元</w:t>
            </w:r>
          </w:p>
        </w:tc>
        <w:tc>
          <w:tcPr>
            <w:tcW w:w="668" w:type="pct"/>
            <w:vAlign w:val="center"/>
          </w:tcPr>
          <w:p>
            <w:pPr>
              <w:widowControl/>
              <w:snapToGrid w:val="0"/>
              <w:jc w:val="center"/>
              <w:rPr>
                <w:rFonts w:ascii="宋体" w:hAnsi="宋体" w:eastAsia="宋体" w:cs="宋体"/>
                <w:kern w:val="0"/>
                <w:szCs w:val="21"/>
              </w:rPr>
            </w:pPr>
            <w:r>
              <w:rPr>
                <w:rFonts w:hint="eastAsia" w:ascii="宋体" w:hAnsi="宋体" w:cs="宋体"/>
                <w:kern w:val="0"/>
                <w:szCs w:val="21"/>
              </w:rPr>
              <w:t>41560</w:t>
            </w:r>
          </w:p>
        </w:tc>
        <w:tc>
          <w:tcPr>
            <w:tcW w:w="608" w:type="pct"/>
            <w:vAlign w:val="center"/>
          </w:tcPr>
          <w:p>
            <w:pPr>
              <w:widowControl/>
              <w:snapToGrid w:val="0"/>
              <w:ind w:left="-199"/>
              <w:jc w:val="center"/>
              <w:rPr>
                <w:rFonts w:ascii="宋体" w:hAnsi="宋体" w:eastAsia="宋体" w:cs="宋体"/>
                <w:kern w:val="0"/>
                <w:szCs w:val="21"/>
              </w:rPr>
            </w:pPr>
            <w:r>
              <w:rPr>
                <w:rFonts w:hint="eastAsia" w:ascii="宋体" w:hAnsi="宋体" w:eastAsia="宋体" w:cs="宋体"/>
                <w:kern w:val="0"/>
                <w:szCs w:val="21"/>
              </w:rPr>
              <w:t>与经济</w:t>
            </w:r>
          </w:p>
          <w:p>
            <w:pPr>
              <w:widowControl/>
              <w:snapToGrid w:val="0"/>
              <w:ind w:left="-199"/>
              <w:jc w:val="center"/>
              <w:rPr>
                <w:rFonts w:ascii="宋体" w:hAnsi="宋体" w:eastAsia="宋体" w:cs="宋体"/>
                <w:kern w:val="0"/>
                <w:szCs w:val="21"/>
              </w:rPr>
            </w:pPr>
            <w:r>
              <w:rPr>
                <w:rFonts w:hint="eastAsia" w:ascii="宋体" w:hAnsi="宋体" w:eastAsia="宋体" w:cs="宋体"/>
                <w:kern w:val="0"/>
                <w:szCs w:val="21"/>
              </w:rPr>
              <w:t>增长基本</w:t>
            </w:r>
          </w:p>
          <w:p>
            <w:pPr>
              <w:widowControl/>
              <w:snapToGrid w:val="0"/>
              <w:ind w:left="-199"/>
              <w:jc w:val="center"/>
              <w:rPr>
                <w:rFonts w:ascii="宋体" w:hAnsi="宋体" w:eastAsia="宋体" w:cs="宋体"/>
                <w:kern w:val="0"/>
                <w:szCs w:val="21"/>
              </w:rPr>
            </w:pPr>
            <w:r>
              <w:rPr>
                <w:rFonts w:hint="eastAsia" w:ascii="宋体" w:hAnsi="宋体" w:eastAsia="宋体" w:cs="宋体"/>
                <w:kern w:val="0"/>
                <w:szCs w:val="21"/>
              </w:rPr>
              <w:t>同步</w:t>
            </w:r>
          </w:p>
        </w:tc>
        <w:tc>
          <w:tcPr>
            <w:tcW w:w="598" w:type="pct"/>
            <w:vAlign w:val="center"/>
          </w:tcPr>
          <w:p>
            <w:pPr>
              <w:widowControl/>
              <w:snapToGrid w:val="0"/>
              <w:jc w:val="center"/>
              <w:rPr>
                <w:rFonts w:ascii="宋体" w:hAnsi="宋体" w:eastAsia="宋体" w:cs="宋体"/>
                <w:kern w:val="0"/>
                <w:szCs w:val="21"/>
              </w:rPr>
            </w:pPr>
            <w:r>
              <w:rPr>
                <w:rFonts w:hint="eastAsia" w:ascii="宋体" w:hAnsi="宋体" w:eastAsia="宋体" w:cs="宋体"/>
                <w:kern w:val="0"/>
                <w:szCs w:val="21"/>
              </w:rPr>
              <w:t>预期性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550" w:type="pct"/>
            <w:vMerge w:val="continue"/>
            <w:vAlign w:val="center"/>
          </w:tcPr>
          <w:p>
            <w:pPr>
              <w:widowControl/>
              <w:snapToGrid w:val="0"/>
              <w:ind w:left="-199" w:firstLine="369" w:firstLineChars="176"/>
              <w:jc w:val="center"/>
              <w:rPr>
                <w:rFonts w:ascii="宋体" w:hAnsi="宋体" w:eastAsia="宋体" w:cs="宋体"/>
                <w:kern w:val="0"/>
                <w:szCs w:val="21"/>
              </w:rPr>
            </w:pPr>
          </w:p>
        </w:tc>
        <w:tc>
          <w:tcPr>
            <w:tcW w:w="404" w:type="pct"/>
            <w:vAlign w:val="center"/>
          </w:tcPr>
          <w:p>
            <w:pPr>
              <w:widowControl/>
              <w:snapToGrid w:val="0"/>
              <w:jc w:val="center"/>
              <w:rPr>
                <w:szCs w:val="21"/>
              </w:rPr>
            </w:pPr>
            <w:r>
              <w:rPr>
                <w:rFonts w:hint="eastAsia"/>
                <w:szCs w:val="21"/>
              </w:rPr>
              <w:t>25</w:t>
            </w:r>
          </w:p>
        </w:tc>
        <w:tc>
          <w:tcPr>
            <w:tcW w:w="1695" w:type="pct"/>
            <w:vAlign w:val="center"/>
          </w:tcPr>
          <w:p>
            <w:pPr>
              <w:widowControl/>
              <w:snapToGrid w:val="0"/>
              <w:jc w:val="left"/>
              <w:rPr>
                <w:rFonts w:ascii="宋体" w:hAnsi="宋体" w:eastAsia="宋体" w:cs="宋体"/>
                <w:kern w:val="0"/>
                <w:szCs w:val="21"/>
              </w:rPr>
            </w:pPr>
            <w:r>
              <w:rPr>
                <w:rFonts w:hint="eastAsia" w:ascii="宋体" w:hAnsi="宋体" w:eastAsia="宋体" w:cs="宋体"/>
                <w:kern w:val="0"/>
                <w:szCs w:val="21"/>
              </w:rPr>
              <w:t>城镇居民恩格尔系数</w:t>
            </w:r>
          </w:p>
        </w:tc>
        <w:tc>
          <w:tcPr>
            <w:tcW w:w="477" w:type="pct"/>
            <w:vAlign w:val="center"/>
          </w:tcPr>
          <w:p>
            <w:pPr>
              <w:widowControl/>
              <w:snapToGrid w:val="0"/>
              <w:jc w:val="center"/>
              <w:rPr>
                <w:rFonts w:ascii="宋体" w:hAnsi="宋体" w:eastAsia="宋体" w:cs="宋体"/>
                <w:kern w:val="0"/>
                <w:szCs w:val="21"/>
              </w:rPr>
            </w:pPr>
            <w:r>
              <w:rPr>
                <w:rFonts w:ascii="宋体" w:hAnsi="宋体" w:eastAsia="宋体" w:cs="宋体"/>
                <w:kern w:val="0"/>
                <w:szCs w:val="21"/>
              </w:rPr>
              <w:t>%</w:t>
            </w:r>
          </w:p>
        </w:tc>
        <w:tc>
          <w:tcPr>
            <w:tcW w:w="668" w:type="pct"/>
            <w:vAlign w:val="center"/>
          </w:tcPr>
          <w:p>
            <w:pPr>
              <w:widowControl/>
              <w:snapToGrid w:val="0"/>
              <w:jc w:val="center"/>
              <w:rPr>
                <w:rFonts w:ascii="宋体" w:hAnsi="宋体" w:eastAsia="宋体" w:cs="宋体"/>
                <w:kern w:val="0"/>
                <w:szCs w:val="21"/>
              </w:rPr>
            </w:pPr>
            <w:r>
              <w:rPr>
                <w:rFonts w:hint="eastAsia" w:ascii="宋体" w:hAnsi="宋体" w:eastAsia="宋体" w:cs="宋体"/>
                <w:kern w:val="0"/>
                <w:szCs w:val="21"/>
              </w:rPr>
              <w:t>28.5</w:t>
            </w:r>
          </w:p>
        </w:tc>
        <w:tc>
          <w:tcPr>
            <w:tcW w:w="608" w:type="pct"/>
            <w:vAlign w:val="center"/>
          </w:tcPr>
          <w:p>
            <w:pPr>
              <w:widowControl/>
              <w:snapToGrid w:val="0"/>
              <w:jc w:val="center"/>
              <w:rPr>
                <w:rFonts w:ascii="宋体" w:hAnsi="宋体" w:eastAsia="宋体" w:cs="宋体"/>
                <w:kern w:val="0"/>
                <w:szCs w:val="21"/>
              </w:rPr>
            </w:pPr>
            <w:r>
              <w:rPr>
                <w:rFonts w:hint="eastAsia" w:ascii="宋体" w:hAnsi="宋体" w:eastAsia="宋体" w:cs="宋体"/>
                <w:kern w:val="0"/>
                <w:szCs w:val="21"/>
              </w:rPr>
              <w:t>27.5</w:t>
            </w:r>
          </w:p>
        </w:tc>
        <w:tc>
          <w:tcPr>
            <w:tcW w:w="598" w:type="pct"/>
            <w:vAlign w:val="center"/>
          </w:tcPr>
          <w:p>
            <w:pPr>
              <w:widowControl/>
              <w:snapToGrid w:val="0"/>
              <w:jc w:val="center"/>
              <w:rPr>
                <w:rFonts w:ascii="宋体" w:hAnsi="宋体" w:eastAsia="宋体" w:cs="宋体"/>
                <w:kern w:val="0"/>
                <w:szCs w:val="21"/>
              </w:rPr>
            </w:pPr>
            <w:r>
              <w:rPr>
                <w:rFonts w:hint="eastAsia" w:ascii="宋体" w:hAnsi="宋体" w:eastAsia="宋体" w:cs="宋体"/>
                <w:kern w:val="0"/>
                <w:szCs w:val="21"/>
              </w:rPr>
              <w:t>预期性</w:t>
            </w:r>
          </w:p>
        </w:tc>
      </w:tr>
      <w:bookmarkEnd w:id="47"/>
      <w:bookmarkEnd w:id="51"/>
    </w:tbl>
    <w:p>
      <w:pPr>
        <w:pStyle w:val="3"/>
        <w:pageBreakBefore w:val="0"/>
        <w:widowControl w:val="0"/>
        <w:kinsoku/>
        <w:wordWrap/>
        <w:overflowPunct/>
        <w:topLinePunct w:val="0"/>
        <w:autoSpaceDE/>
        <w:autoSpaceDN/>
        <w:bidi w:val="0"/>
        <w:spacing w:line="560" w:lineRule="exact"/>
        <w:ind w:left="0" w:firstLine="640" w:firstLineChars="200"/>
        <w:jc w:val="both"/>
        <w:textAlignment w:val="auto"/>
      </w:pPr>
      <w:bookmarkStart w:id="52" w:name="_Toc24345"/>
      <w:bookmarkStart w:id="53" w:name="_Toc15515"/>
      <w:bookmarkStart w:id="54" w:name="_Toc9918"/>
      <w:bookmarkStart w:id="55" w:name="_Toc70524111"/>
      <w:r>
        <w:rPr>
          <w:rFonts w:hint="eastAsia"/>
        </w:rPr>
        <w:t>四、聚焦产业融合，构建都市农业高质量发展格局</w:t>
      </w:r>
      <w:bookmarkEnd w:id="52"/>
      <w:bookmarkEnd w:id="53"/>
      <w:bookmarkEnd w:id="54"/>
      <w:bookmarkEnd w:id="55"/>
    </w:p>
    <w:p>
      <w:pPr>
        <w:pageBreakBefore w:val="0"/>
        <w:widowControl w:val="0"/>
        <w:kinsoku/>
        <w:wordWrap/>
        <w:overflowPunct/>
        <w:topLinePunct w:val="0"/>
        <w:autoSpaceDE/>
        <w:autoSpaceDN/>
        <w:bidi w:val="0"/>
        <w:adjustRightInd w:val="0"/>
        <w:snapToGrid w:val="0"/>
        <w:spacing w:line="560" w:lineRule="exact"/>
        <w:ind w:left="0" w:firstLine="640" w:firstLineChars="200"/>
        <w:jc w:val="both"/>
        <w:textAlignment w:val="auto"/>
        <w:rPr>
          <w:rFonts w:ascii="仿宋_GB2312" w:hAnsi="仿宋" w:eastAsia="仿宋_GB2312" w:cs="仿宋"/>
          <w:sz w:val="32"/>
          <w:szCs w:val="32"/>
        </w:rPr>
      </w:pPr>
      <w:r>
        <w:rPr>
          <w:rFonts w:hint="eastAsia" w:ascii="仿宋_GB2312" w:hAnsi="仿宋" w:eastAsia="仿宋_GB2312" w:cs="仿宋"/>
          <w:sz w:val="32"/>
          <w:szCs w:val="32"/>
        </w:rPr>
        <w:t>以深入推进农业供给侧结构性改革为主线，立足东丽区资源优势和产业特色，全面升级优势农业产业，秉持“生态优先，绿色发展”理念，坚持农业“园区化、规模化、科技化、品牌化、健康化、融合化”的“六化”指导思想，构建都市农业高质量发展新格局，纵深推进一二三产业融合发展水平。</w:t>
      </w:r>
    </w:p>
    <w:p>
      <w:pPr>
        <w:pStyle w:val="4"/>
        <w:pageBreakBefore w:val="0"/>
        <w:widowControl w:val="0"/>
        <w:kinsoku/>
        <w:wordWrap/>
        <w:overflowPunct/>
        <w:topLinePunct w:val="0"/>
        <w:autoSpaceDE/>
        <w:autoSpaceDN/>
        <w:bidi w:val="0"/>
        <w:spacing w:before="0" w:after="0" w:line="560" w:lineRule="exact"/>
        <w:ind w:left="0" w:firstLine="640" w:firstLineChars="200"/>
        <w:jc w:val="both"/>
        <w:textAlignment w:val="auto"/>
        <w:rPr>
          <w:rFonts w:ascii="楷体_GB2312" w:hAnsi="楷体_GB2312" w:eastAsia="楷体_GB2312" w:cs="楷体_GB2312"/>
          <w:b w:val="0"/>
          <w:bCs w:val="0"/>
          <w:sz w:val="32"/>
          <w:szCs w:val="32"/>
        </w:rPr>
      </w:pPr>
      <w:bookmarkStart w:id="56" w:name="_Toc13953"/>
      <w:bookmarkStart w:id="57" w:name="_Toc5877"/>
      <w:bookmarkStart w:id="58" w:name="_Toc13935"/>
      <w:bookmarkStart w:id="59" w:name="_Toc70524112"/>
      <w:r>
        <w:rPr>
          <w:rFonts w:hint="eastAsia" w:ascii="楷体_GB2312" w:hAnsi="楷体_GB2312" w:eastAsia="楷体_GB2312" w:cs="楷体_GB2312"/>
          <w:b w:val="0"/>
          <w:bCs w:val="0"/>
          <w:sz w:val="32"/>
          <w:szCs w:val="32"/>
          <w:lang w:eastAsia="zh-CN"/>
        </w:rPr>
        <w:t>（一）</w:t>
      </w:r>
      <w:r>
        <w:rPr>
          <w:rFonts w:hint="eastAsia" w:ascii="楷体_GB2312" w:hAnsi="楷体_GB2312" w:eastAsia="楷体_GB2312" w:cs="楷体_GB2312"/>
          <w:b w:val="0"/>
          <w:bCs w:val="0"/>
          <w:sz w:val="32"/>
          <w:szCs w:val="32"/>
        </w:rPr>
        <w:t>立足高端需求，提升农业现代化产业体系</w:t>
      </w:r>
      <w:bookmarkEnd w:id="56"/>
      <w:r>
        <w:rPr>
          <w:rFonts w:hint="eastAsia" w:ascii="楷体_GB2312" w:hAnsi="楷体_GB2312" w:eastAsia="楷体_GB2312" w:cs="楷体_GB2312"/>
          <w:b w:val="0"/>
          <w:bCs w:val="0"/>
          <w:sz w:val="32"/>
          <w:szCs w:val="32"/>
        </w:rPr>
        <w:t>水平</w:t>
      </w:r>
      <w:bookmarkEnd w:id="57"/>
      <w:bookmarkEnd w:id="58"/>
      <w:bookmarkEnd w:id="59"/>
    </w:p>
    <w:p>
      <w:pPr>
        <w:pageBreakBefore w:val="0"/>
        <w:widowControl w:val="0"/>
        <w:kinsoku/>
        <w:wordWrap/>
        <w:overflowPunct/>
        <w:topLinePunct w:val="0"/>
        <w:autoSpaceDE/>
        <w:autoSpaceDN/>
        <w:bidi w:val="0"/>
        <w:adjustRightInd w:val="0"/>
        <w:snapToGrid w:val="0"/>
        <w:spacing w:line="560" w:lineRule="exact"/>
        <w:ind w:left="0" w:firstLine="640" w:firstLineChars="200"/>
        <w:jc w:val="both"/>
        <w:textAlignment w:val="auto"/>
        <w:rPr>
          <w:rFonts w:ascii="仿宋_GB2312" w:hAnsi="仿宋" w:eastAsia="仿宋_GB2312" w:cs="仿宋"/>
          <w:sz w:val="32"/>
          <w:szCs w:val="32"/>
        </w:rPr>
      </w:pPr>
      <w:bookmarkStart w:id="60" w:name="_Toc30521"/>
      <w:r>
        <w:rPr>
          <w:rFonts w:hint="eastAsia" w:ascii="仿宋_GB2312" w:hAnsi="仿宋" w:eastAsia="仿宋_GB2312" w:cs="仿宋"/>
          <w:sz w:val="32"/>
          <w:szCs w:val="32"/>
        </w:rPr>
        <w:t>空间布局上，依托资源优势，错位发展，重点打造“生活+、生产+、生态+”三位一体的产业发展格局，北部东丽湖和华明产业融合示范区、西部金钟高效农业示范区，南部绿芯和绿廊生态文化示范区，形成“片”状发展格局。产品结构上，重点发展多彩产业（绿色：蔬菜、林业；红色：花卉、西红柿、火龙果和草莓；白色：大米、小麦、食用菌、水产；紫色：葡萄；）。产业业态上，发掘农业“产品供给、文化体验、生态涵养、休闲旅游、健康养生、文创教育”等多种功能和生产、生活、生态等多重价值，突出数字农业、观光农业、体验农业、生态农业、电商农业、创意农业、认养农业、定制农业、智慧农业等新型业态培育。</w:t>
      </w:r>
    </w:p>
    <w:p>
      <w:pPr>
        <w:pageBreakBefore w:val="0"/>
        <w:kinsoku/>
        <w:wordWrap/>
        <w:overflowPunct/>
        <w:topLinePunct w:val="0"/>
        <w:autoSpaceDE/>
        <w:autoSpaceDN/>
        <w:bidi w:val="0"/>
        <w:adjustRightInd w:val="0"/>
        <w:snapToGrid w:val="0"/>
        <w:spacing w:line="560" w:lineRule="exact"/>
        <w:ind w:left="0" w:firstLine="640" w:firstLineChars="200"/>
        <w:jc w:val="both"/>
        <w:textAlignment w:val="auto"/>
        <w:outlineLvl w:val="2"/>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（1）北部东丽湖和华明产业融合示范区</w:t>
      </w:r>
    </w:p>
    <w:p>
      <w:pPr>
        <w:pageBreakBefore w:val="0"/>
        <w:widowControl w:val="0"/>
        <w:kinsoku/>
        <w:wordWrap/>
        <w:overflowPunct/>
        <w:topLinePunct w:val="0"/>
        <w:autoSpaceDE/>
        <w:autoSpaceDN/>
        <w:bidi w:val="0"/>
        <w:adjustRightInd w:val="0"/>
        <w:snapToGrid w:val="0"/>
        <w:spacing w:line="560" w:lineRule="exact"/>
        <w:ind w:left="0" w:firstLine="616" w:firstLineChars="200"/>
        <w:jc w:val="both"/>
        <w:textAlignment w:val="auto"/>
        <w:rPr>
          <w:rFonts w:ascii="仿宋_GB2312" w:hAnsi="仿宋" w:eastAsia="仿宋_GB2312" w:cs="仿宋"/>
          <w:spacing w:val="-6"/>
          <w:sz w:val="32"/>
          <w:szCs w:val="32"/>
        </w:rPr>
      </w:pPr>
      <w:r>
        <w:rPr>
          <w:rFonts w:hint="eastAsia" w:ascii="仿宋_GB2312" w:hAnsi="仿宋" w:eastAsia="仿宋_GB2312" w:cs="仿宋"/>
          <w:spacing w:val="-6"/>
          <w:sz w:val="32"/>
          <w:szCs w:val="32"/>
        </w:rPr>
        <w:t>突出“生活+”理念，围绕东丽区“十四五”规划，结合北部绿色生态创新发展带总体目标以及建设国家级自主创新示范区华明片区、国家级现代服务业集聚区重点任务，立足于华明高新区知识产权小镇发展基础，面向高端技术人群，重点打造释放压力、舒缓心情、休闲度假、回归自然的高品质产业融合示范区。以华明农业园及胡张庄葡萄基地为核心，串点成线、连线成片，辐射和带动周边永和、赤土发展高标准农田试验示范工程，打造集智慧田园体验、四季果蔬采摘、高品位特色民宿于一体的现代农业体验区。发挥东丽湖和赤土湿地丰富的生态资源及创新优势，融入慢生活理念，修建环湖步道、骑行慢道，引入亲子垂钓、滨水漫游、单车慢行、低碳露营、湿地科普等特色项目，打造养心、养肺、养胃、养身、养智“五养”的宜居宜业宜游的慢生活体验区。</w:t>
      </w:r>
    </w:p>
    <w:p>
      <w:pPr>
        <w:pageBreakBefore w:val="0"/>
        <w:kinsoku/>
        <w:wordWrap/>
        <w:overflowPunct/>
        <w:topLinePunct w:val="0"/>
        <w:autoSpaceDE/>
        <w:autoSpaceDN/>
        <w:bidi w:val="0"/>
        <w:adjustRightInd w:val="0"/>
        <w:snapToGrid w:val="0"/>
        <w:spacing w:line="560" w:lineRule="exact"/>
        <w:ind w:left="0" w:firstLine="640" w:firstLineChars="200"/>
        <w:jc w:val="both"/>
        <w:textAlignment w:val="auto"/>
        <w:outlineLvl w:val="2"/>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（2）西部金钟高效农业示范区</w:t>
      </w:r>
    </w:p>
    <w:p>
      <w:pPr>
        <w:pageBreakBefore w:val="0"/>
        <w:widowControl w:val="0"/>
        <w:kinsoku/>
        <w:wordWrap/>
        <w:overflowPunct/>
        <w:topLinePunct w:val="0"/>
        <w:autoSpaceDE/>
        <w:autoSpaceDN/>
        <w:bidi w:val="0"/>
        <w:adjustRightInd w:val="0"/>
        <w:snapToGrid w:val="0"/>
        <w:spacing w:line="560" w:lineRule="exact"/>
        <w:ind w:left="0" w:firstLine="640" w:firstLineChars="200"/>
        <w:jc w:val="both"/>
        <w:textAlignment w:val="auto"/>
        <w:rPr>
          <w:rFonts w:ascii="仿宋_GB2312" w:hAnsi="仿宋" w:eastAsia="仿宋_GB2312" w:cs="仿宋"/>
          <w:sz w:val="32"/>
          <w:szCs w:val="32"/>
        </w:rPr>
      </w:pPr>
      <w:r>
        <w:rPr>
          <w:rFonts w:hint="eastAsia" w:ascii="仿宋_GB2312" w:hAnsi="仿宋" w:eastAsia="仿宋_GB2312" w:cs="仿宋"/>
          <w:sz w:val="32"/>
          <w:szCs w:val="32"/>
        </w:rPr>
        <w:t>突出“生产+”功能，把握京津冀协同发展重大历史机遇以及“决战临空”区域定位、加快发展“数字经济”有利时机，围绕服务京津冀协同发展，强化“菜篮子”农产品供给能力总体目标，实施“品质、品种、品牌”三品工程，打造优质高效农业示范区。对金钟现有低端设施种植区进行整体提升，着力打造集中连片、配套完善、依标生产、效益稳固的设施农业发展新格局，重点发展西红柿、花卉、蔬菜、食用菌等。扩大欢坨西红柿种植规模，提升西红柿标准化生产能力，打造区域性公用品牌。持续提升现有高档花卉生产产能，打造高端农业信息化示范基地。</w:t>
      </w:r>
    </w:p>
    <w:p>
      <w:pPr>
        <w:pageBreakBefore w:val="0"/>
        <w:kinsoku/>
        <w:wordWrap/>
        <w:overflowPunct/>
        <w:topLinePunct w:val="0"/>
        <w:autoSpaceDE/>
        <w:autoSpaceDN/>
        <w:bidi w:val="0"/>
        <w:adjustRightInd w:val="0"/>
        <w:snapToGrid w:val="0"/>
        <w:spacing w:line="560" w:lineRule="exact"/>
        <w:ind w:left="0" w:firstLine="640" w:firstLineChars="200"/>
        <w:jc w:val="both"/>
        <w:textAlignment w:val="auto"/>
        <w:outlineLvl w:val="2"/>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（3）南部绿芯和绿廊生态文化示范区</w:t>
      </w:r>
    </w:p>
    <w:p>
      <w:pPr>
        <w:pageBreakBefore w:val="0"/>
        <w:widowControl w:val="0"/>
        <w:kinsoku/>
        <w:wordWrap/>
        <w:overflowPunct/>
        <w:topLinePunct w:val="0"/>
        <w:autoSpaceDE/>
        <w:autoSpaceDN/>
        <w:bidi w:val="0"/>
        <w:adjustRightInd w:val="0"/>
        <w:snapToGrid w:val="0"/>
        <w:spacing w:line="560" w:lineRule="exact"/>
        <w:ind w:left="0" w:firstLine="640" w:firstLineChars="200"/>
        <w:jc w:val="both"/>
        <w:textAlignment w:val="auto"/>
        <w:rPr>
          <w:rFonts w:ascii="仿宋_GB2312" w:hAnsi="仿宋" w:eastAsia="仿宋_GB2312" w:cs="仿宋"/>
          <w:sz w:val="32"/>
          <w:szCs w:val="32"/>
        </w:rPr>
      </w:pPr>
      <w:r>
        <w:rPr>
          <w:rFonts w:hint="eastAsia" w:ascii="仿宋_GB2312" w:hAnsi="仿宋" w:eastAsia="仿宋_GB2312" w:cs="仿宋"/>
          <w:sz w:val="32"/>
          <w:szCs w:val="32"/>
        </w:rPr>
        <w:t>突出“生态+”效益，抢抓双城中间规划管控，建设绿色生态屏障的重大机遇，立足于毗邻中心城区的区位优势以及创建全民健身示范区有利时机，依托海河生态绿芯以及古海岸湿地绿廊，打造南部生态文化示范区。“十四五”前期，围绕绿色生态屏障建设重点工程，全面完成绿化造林，实现蓝绿空间占比目标，达到“大绿、大水”景观效果。“十四五”后期，在对二三级管控开发的前提与基础下，统筹绿芯、绿廊起步区、植物园、创意葫芦基地等资源，培育“农业+文化+体育”新型产业模式，开展品生活、品历史、品艺术、品野趣“四品融合”的文化主题活动，发展特色民宿、咖吧氧吧等新业态，开发乡村历史文化、民俗文化、生态文化游，打造市民有氧休闲新去处，“氧吧”型旅游目的地以及生态立体种养示范基地。</w:t>
      </w:r>
    </w:p>
    <w:bookmarkEnd w:id="60"/>
    <w:p>
      <w:pPr>
        <w:pageBreakBefore w:val="0"/>
        <w:kinsoku/>
        <w:wordWrap/>
        <w:overflowPunct/>
        <w:topLinePunct w:val="0"/>
        <w:autoSpaceDE/>
        <w:autoSpaceDN/>
        <w:bidi w:val="0"/>
        <w:adjustRightInd w:val="0"/>
        <w:snapToGrid w:val="0"/>
        <w:spacing w:line="560" w:lineRule="exact"/>
        <w:ind w:left="0" w:firstLine="640" w:firstLineChars="200"/>
        <w:jc w:val="both"/>
        <w:textAlignment w:val="auto"/>
        <w:outlineLvl w:val="2"/>
        <w:rPr>
          <w:rFonts w:hint="eastAsia" w:ascii="楷体_GB2312" w:hAnsi="楷体_GB2312" w:eastAsia="楷体_GB2312" w:cs="楷体_GB2312"/>
          <w:bCs/>
          <w:sz w:val="32"/>
          <w:szCs w:val="32"/>
        </w:rPr>
      </w:pPr>
      <w:bookmarkStart w:id="61" w:name="_Toc14429"/>
      <w:bookmarkStart w:id="62" w:name="_Toc12294"/>
      <w:bookmarkStart w:id="63" w:name="_Toc25113"/>
      <w:bookmarkStart w:id="64" w:name="_Toc70524113"/>
      <w:r>
        <w:rPr>
          <w:rFonts w:hint="eastAsia" w:ascii="楷体_GB2312" w:hAnsi="楷体_GB2312" w:eastAsia="楷体_GB2312" w:cs="楷体_GB2312"/>
          <w:bCs/>
          <w:sz w:val="32"/>
          <w:szCs w:val="32"/>
          <w:lang w:eastAsia="zh-CN"/>
        </w:rPr>
        <w:t>（二）</w:t>
      </w:r>
      <w:r>
        <w:rPr>
          <w:rFonts w:hint="eastAsia" w:ascii="楷体_GB2312" w:hAnsi="楷体_GB2312" w:eastAsia="楷体_GB2312" w:cs="楷体_GB2312"/>
          <w:bCs/>
          <w:sz w:val="32"/>
          <w:szCs w:val="32"/>
        </w:rPr>
        <w:t>强化主体培育，推动现代化经营体系建设</w:t>
      </w:r>
      <w:bookmarkEnd w:id="61"/>
      <w:bookmarkEnd w:id="62"/>
      <w:bookmarkEnd w:id="63"/>
      <w:bookmarkEnd w:id="64"/>
    </w:p>
    <w:p>
      <w:pPr>
        <w:pageBreakBefore w:val="0"/>
        <w:widowControl w:val="0"/>
        <w:kinsoku/>
        <w:wordWrap/>
        <w:overflowPunct/>
        <w:topLinePunct w:val="0"/>
        <w:autoSpaceDE/>
        <w:autoSpaceDN/>
        <w:bidi w:val="0"/>
        <w:adjustRightInd w:val="0"/>
        <w:snapToGrid w:val="0"/>
        <w:spacing w:line="560" w:lineRule="exact"/>
        <w:ind w:left="0" w:firstLine="640" w:firstLineChars="200"/>
        <w:jc w:val="both"/>
        <w:textAlignment w:val="auto"/>
        <w:rPr>
          <w:rFonts w:ascii="仿宋_GB2312" w:hAnsi="仿宋" w:eastAsia="仿宋_GB2312" w:cs="仿宋"/>
          <w:sz w:val="32"/>
          <w:szCs w:val="32"/>
        </w:rPr>
      </w:pPr>
      <w:r>
        <w:rPr>
          <w:rFonts w:hint="eastAsia" w:ascii="仿宋_GB2312" w:hAnsi="仿宋" w:eastAsia="仿宋_GB2312" w:cs="仿宋"/>
          <w:sz w:val="32"/>
          <w:szCs w:val="32"/>
        </w:rPr>
        <w:t>实施主体培育工程，促进家庭农场、农民专业合作社和农业龙头企业高质量发展，推行家庭经营、集体经营、合作经营、企业经营等联动发展的农业经营体系，鼓励发展集农技推广、生产经营、主体培育、品牌营销、金融保险、质量安全于一体的新型农业经营联合体和服务体系。</w:t>
      </w:r>
    </w:p>
    <w:p>
      <w:pPr>
        <w:pageBreakBefore w:val="0"/>
        <w:kinsoku/>
        <w:wordWrap/>
        <w:overflowPunct/>
        <w:topLinePunct w:val="0"/>
        <w:autoSpaceDE/>
        <w:autoSpaceDN/>
        <w:bidi w:val="0"/>
        <w:adjustRightInd w:val="0"/>
        <w:snapToGrid w:val="0"/>
        <w:spacing w:line="560" w:lineRule="exact"/>
        <w:ind w:left="0" w:firstLine="640" w:firstLineChars="200"/>
        <w:jc w:val="both"/>
        <w:textAlignment w:val="auto"/>
        <w:outlineLvl w:val="2"/>
        <w:rPr>
          <w:rFonts w:hint="eastAsia" w:ascii="楷体_GB2312" w:hAnsi="楷体_GB2312" w:eastAsia="楷体_GB2312" w:cs="楷体_GB2312"/>
          <w:bCs/>
          <w:sz w:val="32"/>
          <w:szCs w:val="32"/>
          <w:lang w:eastAsia="zh-CN"/>
        </w:rPr>
      </w:pPr>
      <w:r>
        <w:rPr>
          <w:rFonts w:hint="eastAsia" w:ascii="楷体_GB2312" w:hAnsi="楷体_GB2312" w:eastAsia="楷体_GB2312" w:cs="楷体_GB2312"/>
          <w:bCs/>
          <w:sz w:val="32"/>
          <w:szCs w:val="32"/>
          <w:lang w:eastAsia="zh-CN"/>
        </w:rPr>
        <w:t>（1）加强农业龙头企业的培育</w:t>
      </w:r>
    </w:p>
    <w:p>
      <w:pPr>
        <w:pageBreakBefore w:val="0"/>
        <w:widowControl w:val="0"/>
        <w:kinsoku/>
        <w:wordWrap/>
        <w:overflowPunct/>
        <w:topLinePunct w:val="0"/>
        <w:autoSpaceDE/>
        <w:autoSpaceDN/>
        <w:bidi w:val="0"/>
        <w:adjustRightInd w:val="0"/>
        <w:snapToGrid w:val="0"/>
        <w:spacing w:line="560" w:lineRule="exact"/>
        <w:ind w:left="0" w:firstLine="640" w:firstLineChars="200"/>
        <w:jc w:val="both"/>
        <w:textAlignment w:val="auto"/>
        <w:rPr>
          <w:rFonts w:ascii="仿宋_GB2312" w:hAnsi="仿宋" w:eastAsia="仿宋_GB2312" w:cs="仿宋"/>
          <w:sz w:val="32"/>
          <w:szCs w:val="32"/>
        </w:rPr>
      </w:pPr>
      <w:r>
        <w:rPr>
          <w:rFonts w:hint="eastAsia" w:ascii="仿宋_GB2312" w:hAnsi="仿宋" w:eastAsia="仿宋_GB2312" w:cs="仿宋"/>
          <w:sz w:val="32"/>
          <w:szCs w:val="32"/>
        </w:rPr>
        <w:t>加大农业招商引资力度，着力引进一批符合本区产业发展定位、辐射带动能力强的农业龙头企业，提升产业发展层次与规模。通过政府与社会资本合作、政府购买服务、风险补偿、财政贴息、用地优先、科研激励等方式，健全完善扶持龙头企业发展的政策体系，培育一批基础好、有发展潜力的农业企业做强，提升改造现有产业优势突出、市场竞争能力强的龙头企业做大，扶持优势龙头企业上市。</w:t>
      </w:r>
    </w:p>
    <w:p>
      <w:pPr>
        <w:pageBreakBefore w:val="0"/>
        <w:kinsoku/>
        <w:wordWrap/>
        <w:overflowPunct/>
        <w:topLinePunct w:val="0"/>
        <w:autoSpaceDE/>
        <w:autoSpaceDN/>
        <w:bidi w:val="0"/>
        <w:adjustRightInd w:val="0"/>
        <w:snapToGrid w:val="0"/>
        <w:spacing w:line="560" w:lineRule="exact"/>
        <w:ind w:left="0" w:firstLine="640" w:firstLineChars="200"/>
        <w:jc w:val="both"/>
        <w:textAlignment w:val="auto"/>
        <w:outlineLvl w:val="2"/>
        <w:rPr>
          <w:rFonts w:hint="eastAsia" w:ascii="楷体_GB2312" w:hAnsi="楷体_GB2312" w:eastAsia="楷体_GB2312" w:cs="楷体_GB2312"/>
          <w:bCs/>
          <w:sz w:val="32"/>
          <w:szCs w:val="32"/>
          <w:lang w:eastAsia="zh-CN"/>
        </w:rPr>
      </w:pPr>
      <w:r>
        <w:rPr>
          <w:rFonts w:hint="eastAsia" w:ascii="楷体_GB2312" w:hAnsi="楷体_GB2312" w:eastAsia="楷体_GB2312" w:cs="楷体_GB2312"/>
          <w:bCs/>
          <w:sz w:val="32"/>
          <w:szCs w:val="32"/>
          <w:lang w:eastAsia="zh-CN"/>
        </w:rPr>
        <w:t>（2）促进新型农业经营主体联合发展</w:t>
      </w:r>
    </w:p>
    <w:p>
      <w:pPr>
        <w:pageBreakBefore w:val="0"/>
        <w:widowControl w:val="0"/>
        <w:kinsoku/>
        <w:wordWrap/>
        <w:overflowPunct/>
        <w:topLinePunct w:val="0"/>
        <w:autoSpaceDE/>
        <w:autoSpaceDN/>
        <w:bidi w:val="0"/>
        <w:adjustRightInd w:val="0"/>
        <w:snapToGrid w:val="0"/>
        <w:spacing w:line="560" w:lineRule="exact"/>
        <w:ind w:left="0" w:firstLine="640" w:firstLineChars="200"/>
        <w:jc w:val="both"/>
        <w:textAlignment w:val="auto"/>
        <w:rPr>
          <w:rFonts w:ascii="仿宋_GB2312" w:hAnsi="仿宋" w:eastAsia="仿宋_GB2312" w:cs="仿宋"/>
          <w:sz w:val="32"/>
          <w:szCs w:val="32"/>
        </w:rPr>
      </w:pPr>
      <w:r>
        <w:rPr>
          <w:rFonts w:hint="eastAsia" w:ascii="仿宋_GB2312" w:hAnsi="仿宋" w:eastAsia="仿宋_GB2312" w:cs="仿宋"/>
          <w:sz w:val="32"/>
          <w:szCs w:val="32"/>
        </w:rPr>
        <w:t>探索龙头企业联农带农激励机制，本着优势互补原则，引导龙头企业发挥引领作用，切实发挥产业组织优势，推动“公司+农民合作社+家庭农场”、“公司+农民合作社”、“公司+家庭农场”等联合发展形式，促进家庭经营、合作经营、企业经营协同发展，逐步形成以农业产业化联合体为载体的立体式复合型现代农业经营体系。将农业产业化联合体发展同区域优势特色农产品全产业链建设向结合，推进农业关联产业聚集发展、生产加工流通一体化发展和一二三产业融合发展，重点发展包括稻蟹综合种养游、林下经济、休闲体验农业、农产品精深加工业四条全产业链，构建形成优势农产品全产业链发展新格局。</w:t>
      </w:r>
    </w:p>
    <w:p>
      <w:pPr>
        <w:pStyle w:val="4"/>
        <w:pageBreakBefore w:val="0"/>
        <w:widowControl w:val="0"/>
        <w:kinsoku/>
        <w:wordWrap/>
        <w:overflowPunct/>
        <w:topLinePunct w:val="0"/>
        <w:autoSpaceDE/>
        <w:autoSpaceDN/>
        <w:bidi w:val="0"/>
        <w:spacing w:before="0" w:after="0" w:line="560" w:lineRule="exact"/>
        <w:ind w:left="0" w:firstLine="640" w:firstLineChars="200"/>
        <w:jc w:val="both"/>
        <w:textAlignment w:val="auto"/>
        <w:rPr>
          <w:rFonts w:ascii="楷体_GB2312" w:hAnsi="楷体_GB2312" w:eastAsia="楷体_GB2312" w:cs="楷体_GB2312"/>
          <w:b w:val="0"/>
          <w:bCs w:val="0"/>
          <w:sz w:val="32"/>
          <w:szCs w:val="32"/>
        </w:rPr>
      </w:pPr>
      <w:bookmarkStart w:id="65" w:name="_Toc7471"/>
      <w:bookmarkStart w:id="66" w:name="_Toc17046"/>
      <w:bookmarkStart w:id="67" w:name="_Toc8086"/>
      <w:bookmarkStart w:id="68" w:name="_Toc70524114"/>
      <w:r>
        <w:rPr>
          <w:rFonts w:hint="eastAsia" w:ascii="楷体_GB2312" w:hAnsi="楷体_GB2312" w:eastAsia="楷体_GB2312" w:cs="楷体_GB2312"/>
          <w:b w:val="0"/>
          <w:bCs w:val="0"/>
          <w:sz w:val="32"/>
          <w:szCs w:val="32"/>
          <w:lang w:eastAsia="zh-CN"/>
        </w:rPr>
        <w:t>（三）</w:t>
      </w:r>
      <w:r>
        <w:rPr>
          <w:rFonts w:hint="eastAsia" w:ascii="楷体_GB2312" w:hAnsi="楷体_GB2312" w:eastAsia="楷体_GB2312" w:cs="楷体_GB2312"/>
          <w:b w:val="0"/>
          <w:bCs w:val="0"/>
          <w:sz w:val="32"/>
          <w:szCs w:val="32"/>
        </w:rPr>
        <w:t>探索模式创新，促进现代化服务体系</w:t>
      </w:r>
      <w:bookmarkEnd w:id="65"/>
      <w:r>
        <w:rPr>
          <w:rFonts w:hint="eastAsia" w:ascii="楷体_GB2312" w:hAnsi="楷体_GB2312" w:eastAsia="楷体_GB2312" w:cs="楷体_GB2312"/>
          <w:b w:val="0"/>
          <w:bCs w:val="0"/>
          <w:sz w:val="32"/>
          <w:szCs w:val="32"/>
        </w:rPr>
        <w:t>完善</w:t>
      </w:r>
      <w:bookmarkEnd w:id="66"/>
      <w:bookmarkEnd w:id="67"/>
      <w:bookmarkEnd w:id="68"/>
    </w:p>
    <w:p>
      <w:pPr>
        <w:pageBreakBefore w:val="0"/>
        <w:widowControl w:val="0"/>
        <w:kinsoku/>
        <w:wordWrap/>
        <w:overflowPunct/>
        <w:topLinePunct w:val="0"/>
        <w:autoSpaceDE/>
        <w:autoSpaceDN/>
        <w:bidi w:val="0"/>
        <w:adjustRightInd w:val="0"/>
        <w:snapToGrid w:val="0"/>
        <w:spacing w:line="560" w:lineRule="exact"/>
        <w:ind w:left="0" w:firstLine="640" w:firstLineChars="200"/>
        <w:jc w:val="both"/>
        <w:textAlignment w:val="auto"/>
        <w:rPr>
          <w:rFonts w:hint="eastAsia" w:ascii="仿宋_GB2312" w:hAnsi="仿宋" w:eastAsia="仿宋_GB2312" w:cs="仿宋"/>
          <w:sz w:val="32"/>
          <w:szCs w:val="32"/>
        </w:rPr>
      </w:pPr>
      <w:r>
        <w:rPr>
          <w:rFonts w:hint="eastAsia" w:ascii="仿宋_GB2312" w:hAnsi="仿宋" w:eastAsia="仿宋_GB2312" w:cs="仿宋"/>
          <w:sz w:val="32"/>
          <w:szCs w:val="32"/>
        </w:rPr>
        <w:t>要加快金融、物流、商务会展和信息服务、科技服务、研发设计等生产性服务业向专业化和价值链高端延伸，推动文化旅游、健康养老、家政服务等生活性服务业向高品质、多元化发展，加快构建现代农业服务业发展新体系。积极搭建区级农业综合服务平台，提供包括农业龙头招引服务、农业标准认证服务、新品种新技术推广服务、品牌运营服务、金融服务、电子商务、新农人培训、农产品交易服务等，加强资源整合和要素支撑，完善农业产业服务体系。</w:t>
      </w:r>
    </w:p>
    <w:p>
      <w:pPr>
        <w:pStyle w:val="2"/>
      </w:pPr>
    </w:p>
    <w:p>
      <w:pPr>
        <w:adjustRightInd w:val="0"/>
        <w:snapToGrid w:val="0"/>
        <w:spacing w:beforeLines="50" w:afterLines="50"/>
        <w:jc w:val="center"/>
        <w:outlineLvl w:val="1"/>
        <w:rPr>
          <w:rFonts w:ascii="楷体" w:hAnsi="楷体" w:eastAsia="楷体" w:cs="楷体"/>
          <w:b/>
          <w:bCs/>
          <w:sz w:val="30"/>
          <w:szCs w:val="30"/>
        </w:rPr>
      </w:pPr>
      <w:bookmarkStart w:id="69" w:name="_Toc58790749"/>
      <w:bookmarkStart w:id="70" w:name="_Toc444337282"/>
      <w:bookmarkStart w:id="71" w:name="_Toc31216615"/>
      <w:bookmarkStart w:id="72" w:name="_Toc1697908848"/>
      <w:bookmarkStart w:id="73" w:name="_Toc479"/>
      <w:bookmarkStart w:id="74" w:name="_Toc21132"/>
      <w:bookmarkStart w:id="75" w:name="_Toc29600"/>
      <w:bookmarkStart w:id="76" w:name="_Toc70524115"/>
      <w:r>
        <w:rPr>
          <w:rFonts w:hint="eastAsia" w:ascii="楷体" w:hAnsi="楷体" w:eastAsia="楷体" w:cs="楷体"/>
          <w:b/>
          <w:bCs/>
          <w:sz w:val="30"/>
          <w:szCs w:val="30"/>
        </w:rPr>
        <w:t>专栏1 都市农业高质量发展</w:t>
      </w:r>
      <w:bookmarkEnd w:id="69"/>
      <w:bookmarkEnd w:id="70"/>
      <w:bookmarkEnd w:id="71"/>
      <w:bookmarkEnd w:id="72"/>
      <w:r>
        <w:rPr>
          <w:rFonts w:hint="eastAsia" w:ascii="楷体" w:hAnsi="楷体" w:eastAsia="楷体" w:cs="楷体"/>
          <w:b/>
          <w:bCs/>
          <w:sz w:val="30"/>
          <w:szCs w:val="30"/>
        </w:rPr>
        <w:t>重点工程</w:t>
      </w:r>
      <w:bookmarkEnd w:id="73"/>
      <w:bookmarkEnd w:id="74"/>
      <w:bookmarkEnd w:id="75"/>
      <w:bookmarkEnd w:id="76"/>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keepNext w:val="0"/>
              <w:keepLines w:val="0"/>
              <w:pageBreakBefore w:val="0"/>
              <w:widowControl w:val="0"/>
              <w:kinsoku/>
              <w:wordWrap/>
              <w:overflowPunct/>
              <w:topLinePunct w:val="0"/>
              <w:autoSpaceDE/>
              <w:autoSpaceDN/>
              <w:bidi w:val="0"/>
              <w:adjustRightInd/>
              <w:snapToGrid w:val="0"/>
              <w:spacing w:line="440" w:lineRule="exact"/>
              <w:ind w:left="0" w:firstLine="562" w:firstLineChars="200"/>
              <w:textAlignment w:val="auto"/>
              <w:rPr>
                <w:rFonts w:ascii="仿宋" w:hAnsi="仿宋" w:eastAsia="仿宋" w:cs="仿宋"/>
                <w:sz w:val="28"/>
                <w:szCs w:val="28"/>
              </w:rPr>
            </w:pPr>
            <w:r>
              <w:rPr>
                <w:rFonts w:hint="eastAsia" w:ascii="仿宋" w:hAnsi="仿宋" w:eastAsia="仿宋" w:cs="仿宋"/>
                <w:b/>
                <w:sz w:val="28"/>
                <w:szCs w:val="28"/>
              </w:rPr>
              <w:t>1、建设胡张庄乡村振兴示范区。</w:t>
            </w:r>
            <w:r>
              <w:rPr>
                <w:rFonts w:hint="eastAsia" w:ascii="仿宋" w:hAnsi="仿宋" w:eastAsia="仿宋" w:cs="仿宋"/>
                <w:sz w:val="28"/>
                <w:szCs w:val="28"/>
              </w:rPr>
              <w:t>依托现有葡萄种植、水产养殖等产业基础，引入实力雄厚社会资本合作开发，2021年投资6000万元对胡张庄现有基础设施进行提升改造。2022年6月前实现胡张庄乡村振兴示范区项目的试运营。到2025年，示范区面积达到6000亩，集休闲度假、文创科普、精深加工、亲子体验、特色民宿等高附加值功能开发不断深入，将胡张庄乡村振兴示范区建设成为京津产城融合示范高地。</w:t>
            </w:r>
          </w:p>
          <w:p>
            <w:pPr>
              <w:keepNext w:val="0"/>
              <w:keepLines w:val="0"/>
              <w:pageBreakBefore w:val="0"/>
              <w:widowControl w:val="0"/>
              <w:kinsoku/>
              <w:wordWrap/>
              <w:overflowPunct/>
              <w:topLinePunct w:val="0"/>
              <w:autoSpaceDE/>
              <w:autoSpaceDN/>
              <w:bidi w:val="0"/>
              <w:adjustRightInd/>
              <w:snapToGrid w:val="0"/>
              <w:spacing w:line="440" w:lineRule="exact"/>
              <w:ind w:left="0" w:firstLine="562" w:firstLineChars="200"/>
              <w:textAlignment w:val="auto"/>
              <w:rPr>
                <w:rFonts w:ascii="仿宋" w:hAnsi="仿宋" w:eastAsia="仿宋" w:cs="仿宋"/>
                <w:sz w:val="28"/>
                <w:szCs w:val="28"/>
              </w:rPr>
            </w:pPr>
            <w:r>
              <w:rPr>
                <w:rFonts w:hint="eastAsia" w:ascii="仿宋" w:hAnsi="仿宋" w:eastAsia="仿宋" w:cs="仿宋"/>
                <w:b/>
                <w:sz w:val="28"/>
                <w:szCs w:val="28"/>
              </w:rPr>
              <w:t>2、高标准农田试验示范工程。</w:t>
            </w:r>
            <w:r>
              <w:rPr>
                <w:rFonts w:hint="eastAsia" w:ascii="仿宋" w:hAnsi="仿宋" w:eastAsia="仿宋" w:cs="仿宋"/>
                <w:sz w:val="28"/>
                <w:szCs w:val="28"/>
              </w:rPr>
              <w:t>建设永和5000亩、金钟河北赤土3300亩高标准农田试验示范工程，以点带面，全面提升东丽区高标准农田建设水平，增强农业综合生产能力。2021年末新建设施农业面积0.5万亩，到“十四五”末，设施农业面积达到2万亩。</w:t>
            </w:r>
          </w:p>
          <w:p>
            <w:pPr>
              <w:keepNext w:val="0"/>
              <w:keepLines w:val="0"/>
              <w:pageBreakBefore w:val="0"/>
              <w:widowControl w:val="0"/>
              <w:kinsoku/>
              <w:wordWrap/>
              <w:overflowPunct/>
              <w:topLinePunct w:val="0"/>
              <w:autoSpaceDE/>
              <w:autoSpaceDN/>
              <w:bidi w:val="0"/>
              <w:adjustRightInd/>
              <w:snapToGrid w:val="0"/>
              <w:spacing w:line="440" w:lineRule="exact"/>
              <w:ind w:left="0" w:firstLine="562" w:firstLineChars="200"/>
              <w:textAlignment w:val="auto"/>
              <w:rPr>
                <w:rFonts w:ascii="仿宋" w:hAnsi="仿宋" w:eastAsia="仿宋" w:cs="仿宋"/>
                <w:sz w:val="28"/>
                <w:szCs w:val="28"/>
              </w:rPr>
            </w:pPr>
            <w:r>
              <w:rPr>
                <w:rFonts w:hint="eastAsia" w:ascii="仿宋" w:hAnsi="仿宋" w:eastAsia="仿宋" w:cs="仿宋"/>
                <w:b/>
                <w:sz w:val="28"/>
                <w:szCs w:val="28"/>
              </w:rPr>
              <w:t>3、建设智能化粮食种植基地。</w:t>
            </w:r>
            <w:r>
              <w:rPr>
                <w:rFonts w:hint="eastAsia" w:ascii="仿宋" w:hAnsi="仿宋" w:eastAsia="仿宋" w:cs="仿宋"/>
                <w:sz w:val="28"/>
                <w:szCs w:val="28"/>
              </w:rPr>
              <w:t>以提高优质精品粮供给，优化粮食作物品种为目标，稳定范庄万亩小麦种植，提高以强筋小麦为代表的优质专用粮食品种比重，2025年末达到12000亩。加大推进自动化、智能化农机装备和5G技术在的推广力度，提高大田农作物生产效率，促进亩均效益大幅提升。</w:t>
            </w:r>
          </w:p>
          <w:p>
            <w:pPr>
              <w:keepNext w:val="0"/>
              <w:keepLines w:val="0"/>
              <w:pageBreakBefore w:val="0"/>
              <w:widowControl w:val="0"/>
              <w:kinsoku/>
              <w:wordWrap/>
              <w:overflowPunct/>
              <w:topLinePunct w:val="0"/>
              <w:autoSpaceDE/>
              <w:autoSpaceDN/>
              <w:bidi w:val="0"/>
              <w:adjustRightInd/>
              <w:snapToGrid w:val="0"/>
              <w:spacing w:line="440" w:lineRule="exact"/>
              <w:ind w:left="0" w:firstLine="562" w:firstLineChars="200"/>
              <w:textAlignment w:val="auto"/>
              <w:rPr>
                <w:rFonts w:ascii="仿宋" w:hAnsi="仿宋" w:eastAsia="仿宋" w:cs="仿宋"/>
                <w:sz w:val="28"/>
                <w:szCs w:val="28"/>
              </w:rPr>
            </w:pPr>
            <w:r>
              <w:rPr>
                <w:rFonts w:hint="eastAsia" w:ascii="仿宋" w:hAnsi="仿宋" w:eastAsia="仿宋" w:cs="仿宋"/>
                <w:b/>
                <w:sz w:val="28"/>
                <w:szCs w:val="28"/>
              </w:rPr>
              <w:t>4、建设万亩西红柿产业化标准化示范基地。</w:t>
            </w:r>
            <w:r>
              <w:rPr>
                <w:rFonts w:hint="eastAsia" w:ascii="仿宋" w:hAnsi="仿宋" w:eastAsia="仿宋" w:cs="仿宋"/>
                <w:sz w:val="28"/>
                <w:szCs w:val="28"/>
              </w:rPr>
              <w:t>立足欢坨村西红柿产业基础，通过实施土地复垦以及高标准农田改造，扩大产业规模，提升设施化水平，实施品牌战略，建设万亩西红柿产业化标准化示范基地。促进农民专业合作社、家庭农场等经营主体，打造专业化、标准化服务体系，切实提升产品品质。申请“欢坨西红柿”地理标志认证登记，打造区域公共品牌，放大品牌效应。发挥益农信息社作用，加快发展电商平台，拓宽网络销售渠道。</w:t>
            </w:r>
          </w:p>
          <w:p>
            <w:pPr>
              <w:keepNext w:val="0"/>
              <w:keepLines w:val="0"/>
              <w:pageBreakBefore w:val="0"/>
              <w:widowControl w:val="0"/>
              <w:kinsoku/>
              <w:wordWrap/>
              <w:overflowPunct/>
              <w:topLinePunct w:val="0"/>
              <w:autoSpaceDE/>
              <w:autoSpaceDN/>
              <w:bidi w:val="0"/>
              <w:adjustRightInd/>
              <w:snapToGrid w:val="0"/>
              <w:spacing w:line="440" w:lineRule="exact"/>
              <w:ind w:left="0" w:firstLine="562" w:firstLineChars="200"/>
              <w:textAlignment w:val="auto"/>
              <w:rPr>
                <w:rFonts w:ascii="仿宋" w:hAnsi="仿宋" w:eastAsia="仿宋" w:cs="仿宋"/>
                <w:sz w:val="28"/>
                <w:szCs w:val="28"/>
              </w:rPr>
            </w:pPr>
            <w:r>
              <w:rPr>
                <w:rFonts w:hint="eastAsia" w:ascii="仿宋" w:hAnsi="仿宋" w:eastAsia="仿宋" w:cs="仿宋"/>
                <w:b/>
                <w:sz w:val="28"/>
                <w:szCs w:val="28"/>
              </w:rPr>
              <w:t>5、重塑高档花卉特色农产品优势区。</w:t>
            </w:r>
            <w:r>
              <w:rPr>
                <w:rFonts w:hint="eastAsia" w:ascii="仿宋" w:hAnsi="仿宋" w:eastAsia="仿宋" w:cs="仿宋"/>
                <w:sz w:val="28"/>
                <w:szCs w:val="28"/>
              </w:rPr>
              <w:t>通过“园区+企业+合作社+农户”的产业化模式，持续提升现有高档花卉生产产能，加快花卉新品培育、种苗繁育和生产技术创新，促进全市花卉产业技术升级，逐步形成以观光体验、科普教育、休闲娱乐、度假养生为主的复合式花卉主题休闲旅游目的地，打造成为农业农村创新创业实训基地、科普研学实践教育基地、花卉技术创新与研发示范基地，面积达到3000亩。</w:t>
            </w:r>
          </w:p>
          <w:p>
            <w:pPr>
              <w:keepNext w:val="0"/>
              <w:keepLines w:val="0"/>
              <w:pageBreakBefore w:val="0"/>
              <w:widowControl w:val="0"/>
              <w:kinsoku/>
              <w:wordWrap/>
              <w:overflowPunct/>
              <w:topLinePunct w:val="0"/>
              <w:autoSpaceDE/>
              <w:autoSpaceDN/>
              <w:bidi w:val="0"/>
              <w:adjustRightInd/>
              <w:snapToGrid w:val="0"/>
              <w:spacing w:line="440" w:lineRule="exact"/>
              <w:ind w:left="0" w:firstLine="562" w:firstLineChars="200"/>
              <w:textAlignment w:val="auto"/>
              <w:rPr>
                <w:rFonts w:ascii="仿宋" w:hAnsi="仿宋" w:eastAsia="仿宋" w:cs="仿宋"/>
                <w:sz w:val="28"/>
                <w:szCs w:val="28"/>
              </w:rPr>
            </w:pPr>
            <w:r>
              <w:rPr>
                <w:rFonts w:hint="eastAsia" w:ascii="仿宋" w:hAnsi="仿宋" w:eastAsia="仿宋" w:cs="仿宋"/>
                <w:b/>
                <w:sz w:val="28"/>
                <w:szCs w:val="28"/>
              </w:rPr>
              <w:t>6、精深农产品加工升级工程。</w:t>
            </w:r>
            <w:r>
              <w:rPr>
                <w:rFonts w:hint="eastAsia" w:ascii="仿宋" w:hAnsi="仿宋" w:eastAsia="仿宋" w:cs="仿宋"/>
                <w:sz w:val="28"/>
                <w:szCs w:val="28"/>
              </w:rPr>
              <w:t>2022年完成宽达农产品加工体验基地（600亩）异地重建，做强淡水鱼加工产业。依托绿色蔬菜产业基地（1000亩）、工厂化食用菌生产基地（200亩），开展净菜加工、深加工及配送业务。依托国顺（肉类）食品有限公司开发卤味地方特色产品，将赤土扣肉丸子、骆驼房子烧鸡打造成为“津农精品”。</w:t>
            </w:r>
          </w:p>
          <w:p>
            <w:pPr>
              <w:keepNext w:val="0"/>
              <w:keepLines w:val="0"/>
              <w:pageBreakBefore w:val="0"/>
              <w:widowControl w:val="0"/>
              <w:kinsoku/>
              <w:wordWrap/>
              <w:overflowPunct/>
              <w:topLinePunct w:val="0"/>
              <w:autoSpaceDE/>
              <w:autoSpaceDN/>
              <w:bidi w:val="0"/>
              <w:adjustRightInd/>
              <w:snapToGrid w:val="0"/>
              <w:spacing w:line="440" w:lineRule="exact"/>
              <w:ind w:left="0" w:firstLine="562" w:firstLineChars="200"/>
              <w:textAlignment w:val="auto"/>
              <w:rPr>
                <w:rFonts w:ascii="仿宋" w:hAnsi="仿宋" w:eastAsia="仿宋" w:cs="仿宋"/>
                <w:sz w:val="28"/>
                <w:szCs w:val="28"/>
              </w:rPr>
            </w:pPr>
            <w:r>
              <w:rPr>
                <w:rFonts w:hint="eastAsia" w:ascii="仿宋" w:hAnsi="仿宋" w:eastAsia="仿宋" w:cs="仿宋"/>
                <w:b/>
                <w:sz w:val="28"/>
                <w:szCs w:val="28"/>
              </w:rPr>
              <w:t>7、稻蟹混养产业提升工程。</w:t>
            </w:r>
            <w:r>
              <w:rPr>
                <w:rFonts w:hint="eastAsia" w:ascii="仿宋" w:hAnsi="仿宋" w:eastAsia="仿宋" w:cs="仿宋"/>
                <w:sz w:val="28"/>
                <w:szCs w:val="28"/>
              </w:rPr>
              <w:t>2021年，全面完成军粮城高标准水稻种植基地5000亩的基础设施建设。到2025年，稻蟹、稻鳅、稻虾等立体循环养殖模式广泛推广，一田两用、一水双收，大幅提高亩产收益，实现经济和生态效益的双赢。</w:t>
            </w:r>
          </w:p>
          <w:p>
            <w:pPr>
              <w:keepNext w:val="0"/>
              <w:keepLines w:val="0"/>
              <w:pageBreakBefore w:val="0"/>
              <w:widowControl w:val="0"/>
              <w:kinsoku/>
              <w:wordWrap/>
              <w:overflowPunct/>
              <w:topLinePunct w:val="0"/>
              <w:autoSpaceDE/>
              <w:autoSpaceDN/>
              <w:bidi w:val="0"/>
              <w:adjustRightInd/>
              <w:snapToGrid w:val="0"/>
              <w:spacing w:line="440" w:lineRule="exact"/>
              <w:ind w:left="0" w:firstLine="562" w:firstLineChars="200"/>
              <w:textAlignment w:val="auto"/>
              <w:rPr>
                <w:rFonts w:ascii="仿宋" w:hAnsi="仿宋" w:eastAsia="仿宋" w:cs="仿宋"/>
                <w:sz w:val="28"/>
                <w:szCs w:val="28"/>
              </w:rPr>
            </w:pPr>
            <w:r>
              <w:rPr>
                <w:rFonts w:hint="eastAsia" w:ascii="仿宋" w:hAnsi="仿宋" w:eastAsia="仿宋" w:cs="仿宋"/>
                <w:b/>
                <w:sz w:val="28"/>
                <w:szCs w:val="28"/>
              </w:rPr>
              <w:t>8、建设“农业+文化+体育”融合发展工程。</w:t>
            </w:r>
            <w:r>
              <w:rPr>
                <w:rFonts w:hint="eastAsia" w:ascii="仿宋" w:hAnsi="仿宋" w:eastAsia="仿宋" w:cs="仿宋"/>
                <w:sz w:val="28"/>
                <w:szCs w:val="28"/>
              </w:rPr>
              <w:t>完成无暇精品特色生态园和军粮城生态文化园设施提升改造。以创建全民健身示范区为契机，依托海河生态绿芯以及古海岸湿地绿廊，发展休闲健身、赛事运营、慢运动、马拉松、自行车环城赛等体育文化产业，推广发展趣味乡村体育活动，培育“农业+文化+体育”等新型产业模式。</w:t>
            </w:r>
          </w:p>
          <w:p>
            <w:pPr>
              <w:keepNext w:val="0"/>
              <w:keepLines w:val="0"/>
              <w:pageBreakBefore w:val="0"/>
              <w:widowControl w:val="0"/>
              <w:kinsoku/>
              <w:wordWrap/>
              <w:overflowPunct/>
              <w:topLinePunct w:val="0"/>
              <w:autoSpaceDE/>
              <w:autoSpaceDN/>
              <w:bidi w:val="0"/>
              <w:adjustRightInd/>
              <w:snapToGrid w:val="0"/>
              <w:spacing w:line="440" w:lineRule="exact"/>
              <w:ind w:left="0" w:firstLine="562" w:firstLineChars="200"/>
              <w:textAlignment w:val="auto"/>
              <w:rPr>
                <w:rFonts w:cs="仿宋" w:asciiTheme="minorEastAsia" w:hAnsiTheme="minorEastAsia"/>
                <w:sz w:val="28"/>
                <w:szCs w:val="28"/>
              </w:rPr>
            </w:pPr>
            <w:r>
              <w:rPr>
                <w:rFonts w:hint="eastAsia" w:ascii="仿宋" w:hAnsi="仿宋" w:eastAsia="仿宋" w:cs="仿宋"/>
                <w:b/>
                <w:sz w:val="28"/>
                <w:szCs w:val="28"/>
              </w:rPr>
              <w:t>9、绿芯生态康养培育工程。</w:t>
            </w:r>
            <w:r>
              <w:rPr>
                <w:rFonts w:hint="eastAsia" w:ascii="仿宋" w:hAnsi="仿宋" w:eastAsia="仿宋" w:cs="仿宋"/>
                <w:sz w:val="28"/>
                <w:szCs w:val="28"/>
              </w:rPr>
              <w:t>依托南部片林生态环境，以森林生态+康养服务为核心，发展健身行、有氧游、花海观光等休闲户外运动业态。提升改造海河生态旅游园和滨丽生态创意园基础设施。积极培育林下经济，因地制宜选择适合发展的芍药、石斛等观赏型中药材种植。</w:t>
            </w:r>
          </w:p>
        </w:tc>
      </w:tr>
    </w:tbl>
    <w:p>
      <w:pPr>
        <w:pStyle w:val="3"/>
        <w:rPr>
          <w:rFonts w:hint="eastAsia"/>
        </w:rPr>
      </w:pPr>
      <w:bookmarkStart w:id="77" w:name="_Toc26856"/>
      <w:bookmarkStart w:id="78" w:name="_Toc5527"/>
      <w:bookmarkStart w:id="79" w:name="_Toc10291"/>
      <w:bookmarkStart w:id="80" w:name="_Toc70524116"/>
    </w:p>
    <w:p>
      <w:pPr>
        <w:pStyle w:val="3"/>
        <w:pageBreakBefore w:val="0"/>
        <w:widowControl w:val="0"/>
        <w:kinsoku/>
        <w:wordWrap/>
        <w:overflowPunct/>
        <w:topLinePunct w:val="0"/>
        <w:autoSpaceDE/>
        <w:autoSpaceDN/>
        <w:bidi w:val="0"/>
        <w:spacing w:after="120" w:line="560" w:lineRule="exact"/>
        <w:ind w:left="0" w:firstLine="640" w:firstLineChars="200"/>
        <w:jc w:val="both"/>
        <w:textAlignment w:val="auto"/>
      </w:pPr>
      <w:r>
        <w:rPr>
          <w:rFonts w:hint="eastAsia"/>
        </w:rPr>
        <w:t>五、践行绿色发展，持续改善生态环境和人居环境</w:t>
      </w:r>
      <w:bookmarkEnd w:id="77"/>
      <w:bookmarkEnd w:id="78"/>
      <w:bookmarkEnd w:id="79"/>
      <w:bookmarkEnd w:id="80"/>
    </w:p>
    <w:p>
      <w:pPr>
        <w:pageBreakBefore w:val="0"/>
        <w:widowControl w:val="0"/>
        <w:kinsoku/>
        <w:wordWrap/>
        <w:overflowPunct/>
        <w:topLinePunct w:val="0"/>
        <w:autoSpaceDE/>
        <w:autoSpaceDN/>
        <w:bidi w:val="0"/>
        <w:adjustRightInd w:val="0"/>
        <w:snapToGrid w:val="0"/>
        <w:spacing w:after="120" w:line="560" w:lineRule="exact"/>
        <w:ind w:left="0" w:firstLine="640" w:firstLineChars="200"/>
        <w:jc w:val="both"/>
        <w:textAlignment w:val="auto"/>
        <w:rPr>
          <w:rFonts w:ascii="仿宋_GB2312" w:hAnsi="仿宋" w:eastAsia="仿宋_GB2312" w:cs="仿宋"/>
          <w:sz w:val="32"/>
          <w:szCs w:val="32"/>
        </w:rPr>
      </w:pPr>
      <w:r>
        <w:rPr>
          <w:rFonts w:hint="eastAsia" w:ascii="仿宋_GB2312" w:hAnsi="仿宋" w:eastAsia="仿宋_GB2312" w:cs="仿宋"/>
          <w:sz w:val="32"/>
          <w:szCs w:val="32"/>
        </w:rPr>
        <w:t>坚持绿色发展，落实乡村振兴战略要求，以融入天津市双城发展格局和生态格局为导向，绿色生态屏障建设为主线，释放海河、东丽湖、赤土生态湿地等生态资源的价值，深入实施水生态环境治理和农业绿色发展攻坚工程，持续改善人居环境，打造绿色生态宜居高地。</w:t>
      </w:r>
    </w:p>
    <w:p>
      <w:pPr>
        <w:pStyle w:val="4"/>
        <w:pageBreakBefore w:val="0"/>
        <w:widowControl w:val="0"/>
        <w:kinsoku/>
        <w:wordWrap/>
        <w:overflowPunct/>
        <w:topLinePunct w:val="0"/>
        <w:autoSpaceDE/>
        <w:autoSpaceDN/>
        <w:bidi w:val="0"/>
        <w:spacing w:before="0" w:after="120" w:line="560" w:lineRule="exact"/>
        <w:ind w:left="0" w:firstLine="640" w:firstLineChars="200"/>
        <w:jc w:val="both"/>
        <w:textAlignment w:val="auto"/>
        <w:rPr>
          <w:rFonts w:ascii="楷体_GB2312" w:hAnsi="楷体_GB2312" w:eastAsia="楷体_GB2312" w:cs="楷体_GB2312"/>
          <w:b w:val="0"/>
          <w:bCs w:val="0"/>
          <w:sz w:val="32"/>
          <w:szCs w:val="32"/>
        </w:rPr>
      </w:pPr>
      <w:bookmarkStart w:id="81" w:name="_Toc15238"/>
      <w:bookmarkStart w:id="82" w:name="_Toc7560"/>
      <w:bookmarkStart w:id="83" w:name="_Toc13784"/>
      <w:bookmarkStart w:id="84" w:name="_Toc70524117"/>
      <w:r>
        <w:rPr>
          <w:rFonts w:hint="eastAsia" w:ascii="楷体_GB2312" w:hAnsi="楷体_GB2312" w:eastAsia="楷体_GB2312" w:cs="楷体_GB2312"/>
          <w:b w:val="0"/>
          <w:bCs w:val="0"/>
          <w:sz w:val="32"/>
          <w:szCs w:val="32"/>
          <w:lang w:eastAsia="zh-CN"/>
        </w:rPr>
        <w:t>（一）</w:t>
      </w:r>
      <w:r>
        <w:rPr>
          <w:rFonts w:hint="eastAsia" w:ascii="楷体_GB2312" w:hAnsi="楷体_GB2312" w:eastAsia="楷体_GB2312" w:cs="楷体_GB2312"/>
          <w:b w:val="0"/>
          <w:bCs w:val="0"/>
          <w:sz w:val="32"/>
          <w:szCs w:val="32"/>
        </w:rPr>
        <w:t>推进绿色生态屏障建设，打造生态高地</w:t>
      </w:r>
      <w:bookmarkEnd w:id="81"/>
      <w:bookmarkEnd w:id="82"/>
      <w:bookmarkEnd w:id="83"/>
      <w:bookmarkEnd w:id="84"/>
    </w:p>
    <w:p>
      <w:pPr>
        <w:pageBreakBefore w:val="0"/>
        <w:widowControl w:val="0"/>
        <w:kinsoku/>
        <w:wordWrap/>
        <w:overflowPunct/>
        <w:topLinePunct w:val="0"/>
        <w:autoSpaceDE/>
        <w:autoSpaceDN/>
        <w:bidi w:val="0"/>
        <w:adjustRightInd w:val="0"/>
        <w:snapToGrid w:val="0"/>
        <w:spacing w:after="120" w:line="560" w:lineRule="exact"/>
        <w:ind w:left="0" w:firstLine="640" w:firstLineChars="200"/>
        <w:jc w:val="both"/>
        <w:textAlignment w:val="auto"/>
        <w:rPr>
          <w:rFonts w:ascii="仿宋_GB2312" w:hAnsi="仿宋" w:eastAsia="仿宋_GB2312" w:cs="仿宋"/>
          <w:sz w:val="32"/>
          <w:szCs w:val="32"/>
        </w:rPr>
      </w:pPr>
      <w:r>
        <w:rPr>
          <w:rFonts w:hint="eastAsia" w:ascii="仿宋_GB2312" w:hAnsi="仿宋" w:eastAsia="仿宋_GB2312" w:cs="仿宋"/>
          <w:sz w:val="32"/>
          <w:szCs w:val="32"/>
        </w:rPr>
        <w:t>加强对海河、东丽湖、赤土生态湿地、基本农田、现有林地等生态资源的保护修复，围绕“一廊两芯两环六片区”布局，推进古海岸湿地绿廊、海河生态绿芯和东丽湖湿地蓝芯、南北两大绿环和六大生态片区等重点项目的生态建设。合理确定生态屏障工程布局与建设时序，采用分期滚动开发模式，与专业化生态建设企业合作推进生态屏障项目建设，依托生态债券、生态基金等生态金融产品拓宽生态屏障建设融资渠道。加快探索屏障区内产业发展的新模式、新业态、新路径，盘活用好绿色资源，深度发掘和拓展东丽湖、海河、赤土生态湿地等资源的生态价值，将生态优势转化为产业优势和经济优势，实现生态保护与产业发展互利共赢。</w:t>
      </w:r>
    </w:p>
    <w:p>
      <w:pPr>
        <w:pStyle w:val="4"/>
        <w:pageBreakBefore w:val="0"/>
        <w:widowControl w:val="0"/>
        <w:kinsoku/>
        <w:wordWrap/>
        <w:overflowPunct/>
        <w:topLinePunct w:val="0"/>
        <w:autoSpaceDE/>
        <w:autoSpaceDN/>
        <w:bidi w:val="0"/>
        <w:spacing w:before="0" w:after="120" w:line="560" w:lineRule="exact"/>
        <w:ind w:left="0" w:firstLine="640" w:firstLineChars="200"/>
        <w:jc w:val="both"/>
        <w:textAlignment w:val="auto"/>
        <w:rPr>
          <w:rFonts w:ascii="楷体_GB2312" w:hAnsi="楷体_GB2312" w:eastAsia="楷体_GB2312" w:cs="楷体_GB2312"/>
          <w:b w:val="0"/>
          <w:bCs w:val="0"/>
          <w:sz w:val="32"/>
          <w:szCs w:val="32"/>
        </w:rPr>
      </w:pPr>
      <w:bookmarkStart w:id="85" w:name="_Toc2375"/>
      <w:bookmarkStart w:id="86" w:name="_Toc25367"/>
      <w:bookmarkStart w:id="87" w:name="_Toc4734"/>
      <w:bookmarkStart w:id="88" w:name="_Toc70524118"/>
      <w:bookmarkStart w:id="89" w:name="OLE_LINK3"/>
      <w:r>
        <w:rPr>
          <w:rFonts w:hint="eastAsia" w:ascii="楷体_GB2312" w:hAnsi="楷体_GB2312" w:eastAsia="楷体_GB2312" w:cs="楷体_GB2312"/>
          <w:b w:val="0"/>
          <w:bCs w:val="0"/>
          <w:sz w:val="32"/>
          <w:szCs w:val="32"/>
          <w:lang w:eastAsia="zh-CN"/>
        </w:rPr>
        <w:t>（二）</w:t>
      </w:r>
      <w:r>
        <w:rPr>
          <w:rFonts w:hint="eastAsia" w:ascii="楷体_GB2312" w:hAnsi="楷体_GB2312" w:eastAsia="楷体_GB2312" w:cs="楷体_GB2312"/>
          <w:b w:val="0"/>
          <w:bCs w:val="0"/>
          <w:sz w:val="32"/>
          <w:szCs w:val="32"/>
        </w:rPr>
        <w:t>加强水生态环境治理，提升生态价值</w:t>
      </w:r>
      <w:bookmarkEnd w:id="85"/>
      <w:bookmarkEnd w:id="86"/>
      <w:bookmarkEnd w:id="87"/>
      <w:bookmarkEnd w:id="88"/>
    </w:p>
    <w:p>
      <w:pPr>
        <w:pageBreakBefore w:val="0"/>
        <w:widowControl w:val="0"/>
        <w:kinsoku/>
        <w:wordWrap/>
        <w:overflowPunct/>
        <w:topLinePunct w:val="0"/>
        <w:autoSpaceDE/>
        <w:autoSpaceDN/>
        <w:bidi w:val="0"/>
        <w:adjustRightInd w:val="0"/>
        <w:snapToGrid w:val="0"/>
        <w:spacing w:after="120" w:line="560" w:lineRule="exact"/>
        <w:ind w:left="0" w:firstLine="640" w:firstLineChars="200"/>
        <w:jc w:val="both"/>
        <w:textAlignment w:val="auto"/>
        <w:rPr>
          <w:rFonts w:ascii="仿宋_GB2312" w:hAnsi="仿宋" w:eastAsia="仿宋_GB2312" w:cs="仿宋"/>
          <w:sz w:val="32"/>
          <w:szCs w:val="32"/>
        </w:rPr>
      </w:pPr>
      <w:r>
        <w:rPr>
          <w:rFonts w:hint="eastAsia" w:ascii="仿宋_GB2312" w:hAnsi="仿宋" w:eastAsia="仿宋_GB2312" w:cs="仿宋"/>
          <w:sz w:val="32"/>
          <w:szCs w:val="32"/>
        </w:rPr>
        <w:t>继续实施水生态修复，落实河湖长制，全面改善区域水环境质量。赤土湿地公园保护区域，应利用现有坑塘水面进行改建，打造以净化功能为主导的人工湿地。金钟河生态修复保护区应控制污水进入金钟河，保护金钟河水体水质。改善野生动物的栖息生境，恢复鸟类栖息地，改善生态环境，打造蓝色生态屏障。在生态环境良性发展的同时，开展湿地生态养殖、湿地观光、湿地科普游等综合利用，使湿地的生态功能产生经济效益，带动周边社会经济的发展。</w:t>
      </w:r>
      <w:bookmarkEnd w:id="89"/>
      <w:bookmarkStart w:id="90" w:name="_Toc17972"/>
      <w:bookmarkStart w:id="91" w:name="_Toc31526"/>
    </w:p>
    <w:p>
      <w:pPr>
        <w:pStyle w:val="4"/>
        <w:pageBreakBefore w:val="0"/>
        <w:widowControl w:val="0"/>
        <w:kinsoku/>
        <w:wordWrap/>
        <w:overflowPunct/>
        <w:topLinePunct w:val="0"/>
        <w:autoSpaceDE/>
        <w:autoSpaceDN/>
        <w:bidi w:val="0"/>
        <w:spacing w:before="0" w:after="120" w:line="560" w:lineRule="exact"/>
        <w:ind w:left="0" w:firstLine="640" w:firstLineChars="200"/>
        <w:jc w:val="both"/>
        <w:textAlignment w:val="auto"/>
        <w:rPr>
          <w:rFonts w:ascii="楷体_GB2312" w:hAnsi="楷体_GB2312" w:eastAsia="楷体_GB2312" w:cs="楷体_GB2312"/>
          <w:b w:val="0"/>
          <w:bCs w:val="0"/>
          <w:sz w:val="32"/>
          <w:szCs w:val="32"/>
        </w:rPr>
      </w:pPr>
      <w:bookmarkStart w:id="92" w:name="_Toc5307"/>
      <w:bookmarkStart w:id="93" w:name="_Toc70524119"/>
      <w:r>
        <w:rPr>
          <w:rFonts w:hint="eastAsia" w:ascii="楷体_GB2312" w:hAnsi="楷体_GB2312" w:eastAsia="楷体_GB2312" w:cs="楷体_GB2312"/>
          <w:b w:val="0"/>
          <w:bCs w:val="0"/>
          <w:sz w:val="32"/>
          <w:szCs w:val="32"/>
          <w:lang w:eastAsia="zh-CN"/>
        </w:rPr>
        <w:t>（三）</w:t>
      </w:r>
      <w:r>
        <w:rPr>
          <w:rFonts w:hint="eastAsia" w:ascii="楷体_GB2312" w:hAnsi="楷体_GB2312" w:eastAsia="楷体_GB2312" w:cs="楷体_GB2312"/>
          <w:b w:val="0"/>
          <w:bCs w:val="0"/>
          <w:sz w:val="32"/>
          <w:szCs w:val="32"/>
        </w:rPr>
        <w:t>推动农业资源永续利用，促进绿色发展</w:t>
      </w:r>
      <w:bookmarkEnd w:id="90"/>
      <w:bookmarkEnd w:id="91"/>
      <w:bookmarkEnd w:id="92"/>
      <w:bookmarkEnd w:id="93"/>
    </w:p>
    <w:p>
      <w:pPr>
        <w:pageBreakBefore w:val="0"/>
        <w:widowControl w:val="0"/>
        <w:kinsoku/>
        <w:wordWrap/>
        <w:overflowPunct/>
        <w:topLinePunct w:val="0"/>
        <w:autoSpaceDE/>
        <w:autoSpaceDN/>
        <w:bidi w:val="0"/>
        <w:adjustRightInd w:val="0"/>
        <w:snapToGrid w:val="0"/>
        <w:spacing w:after="120" w:line="560" w:lineRule="exact"/>
        <w:ind w:left="0" w:firstLine="640" w:firstLineChars="200"/>
        <w:jc w:val="both"/>
        <w:textAlignment w:val="auto"/>
        <w:rPr>
          <w:rFonts w:ascii="仿宋_GB2312" w:hAnsi="仿宋" w:eastAsia="仿宋_GB2312" w:cs="仿宋"/>
          <w:sz w:val="32"/>
          <w:szCs w:val="32"/>
        </w:rPr>
      </w:pPr>
      <w:r>
        <w:rPr>
          <w:rFonts w:hint="eastAsia" w:ascii="仿宋_GB2312" w:hAnsi="仿宋" w:eastAsia="仿宋_GB2312" w:cs="仿宋"/>
          <w:bCs/>
          <w:sz w:val="32"/>
          <w:szCs w:val="32"/>
        </w:rPr>
        <w:t>推进化肥施用量和农药使用量零增长。</w:t>
      </w:r>
      <w:r>
        <w:rPr>
          <w:rFonts w:hint="eastAsia" w:ascii="仿宋_GB2312" w:hAnsi="仿宋" w:eastAsia="仿宋_GB2312" w:cs="仿宋"/>
          <w:sz w:val="32"/>
          <w:szCs w:val="32"/>
        </w:rPr>
        <w:t>推广测土配方施肥、水肥一体化技术，实施配方肥、商品有机肥、新型肥料、秸秆还田和水肥一体化设备补贴项目，通过精准施肥、调整施肥结构、改进施肥方式、有机肥替代等途径，到2025年，主要农作物化肥施用量继续保持零增长，氮肥利用率45%、磷肥15%，钾肥40%，力争实现负增长。测土配方施肥技术推广覆盖率提高到99%以上，设施农业水肥一体化技术覆盖率达到99%。宣传农作物病虫害绿色防控技术，推广高效低毒低残留及生物农药，推广高效现代植保机械，到2025年设施农业绿色防控技术覆盖率达到70%以上，主要农作物农药利用率达到50%，农药使用量继续保持零增长，力争实现负增长。</w:t>
      </w:r>
    </w:p>
    <w:p>
      <w:pPr>
        <w:pageBreakBefore w:val="0"/>
        <w:widowControl w:val="0"/>
        <w:kinsoku/>
        <w:wordWrap/>
        <w:overflowPunct/>
        <w:topLinePunct w:val="0"/>
        <w:autoSpaceDE/>
        <w:autoSpaceDN/>
        <w:bidi w:val="0"/>
        <w:adjustRightInd w:val="0"/>
        <w:snapToGrid w:val="0"/>
        <w:spacing w:after="120" w:line="560" w:lineRule="exact"/>
        <w:ind w:left="0" w:firstLine="640" w:firstLineChars="200"/>
        <w:jc w:val="both"/>
        <w:textAlignment w:val="auto"/>
        <w:rPr>
          <w:rFonts w:ascii="仿宋_GB2312" w:hAnsi="仿宋" w:eastAsia="仿宋_GB2312" w:cs="仿宋"/>
          <w:sz w:val="32"/>
          <w:szCs w:val="32"/>
        </w:rPr>
      </w:pPr>
      <w:r>
        <w:rPr>
          <w:rFonts w:hint="eastAsia" w:ascii="仿宋_GB2312" w:hAnsi="仿宋" w:eastAsia="仿宋_GB2312" w:cs="仿宋"/>
          <w:bCs/>
          <w:sz w:val="32"/>
          <w:szCs w:val="32"/>
        </w:rPr>
        <w:t>加强农业面源污染防治。</w:t>
      </w:r>
      <w:r>
        <w:rPr>
          <w:rFonts w:hint="eastAsia" w:ascii="仿宋_GB2312" w:hAnsi="仿宋" w:eastAsia="仿宋_GB2312" w:cs="仿宋"/>
          <w:sz w:val="32"/>
          <w:szCs w:val="32"/>
        </w:rPr>
        <w:t>开展耕地土壤和农产品协同监测与评价，有序推进耕地土壤环境质量类别划定工作。开展耕地土壤污染治理与修复示范，建立耕地土壤重金属污染修复示范区。加强农田残膜回收利用，到2025年农膜回收率力争达到99%。提高农作物秸秆综合利用水平，推动秸秆肥料化、饲料化、燃料化、基料化和原料化利用，到2025年，全区主要农作物秸秆综合利用率达到99%，力争实现全量化利用。</w:t>
      </w:r>
    </w:p>
    <w:p>
      <w:pPr>
        <w:pageBreakBefore w:val="0"/>
        <w:widowControl w:val="0"/>
        <w:kinsoku/>
        <w:wordWrap/>
        <w:overflowPunct/>
        <w:topLinePunct w:val="0"/>
        <w:autoSpaceDE/>
        <w:autoSpaceDN/>
        <w:bidi w:val="0"/>
        <w:adjustRightInd w:val="0"/>
        <w:snapToGrid w:val="0"/>
        <w:spacing w:after="120" w:line="560" w:lineRule="exact"/>
        <w:ind w:left="0" w:firstLine="640" w:firstLineChars="200"/>
        <w:jc w:val="both"/>
        <w:textAlignment w:val="auto"/>
        <w:rPr>
          <w:rFonts w:ascii="仿宋_GB2312" w:hAnsi="仿宋" w:eastAsia="仿宋_GB2312" w:cs="仿宋"/>
          <w:sz w:val="32"/>
          <w:szCs w:val="32"/>
        </w:rPr>
      </w:pPr>
      <w:r>
        <w:rPr>
          <w:rFonts w:hint="eastAsia" w:ascii="仿宋_GB2312" w:hAnsi="仿宋" w:eastAsia="仿宋_GB2312" w:cs="仿宋"/>
          <w:bCs/>
          <w:sz w:val="32"/>
          <w:szCs w:val="32"/>
        </w:rPr>
        <w:t>健全农业节水长效机制。</w:t>
      </w:r>
      <w:r>
        <w:rPr>
          <w:rFonts w:hint="eastAsia" w:ascii="仿宋_GB2312" w:hAnsi="仿宋" w:eastAsia="仿宋_GB2312" w:cs="仿宋"/>
          <w:sz w:val="32"/>
          <w:szCs w:val="32"/>
        </w:rPr>
        <w:t>继续落实最严格的水资源管理制度，全面推行农业用水定额管理，实行水资源消耗总量和强度双控行动，建立健全农业节水长效机制和政策体系。加快实施农业用水供水水源转换工程，提高水资源利用效率。</w:t>
      </w:r>
    </w:p>
    <w:p>
      <w:pPr>
        <w:pStyle w:val="4"/>
        <w:pageBreakBefore w:val="0"/>
        <w:widowControl w:val="0"/>
        <w:kinsoku/>
        <w:wordWrap/>
        <w:overflowPunct/>
        <w:topLinePunct w:val="0"/>
        <w:autoSpaceDE/>
        <w:autoSpaceDN/>
        <w:bidi w:val="0"/>
        <w:spacing w:before="0" w:after="120" w:line="560" w:lineRule="exact"/>
        <w:ind w:left="0" w:firstLine="640" w:firstLineChars="200"/>
        <w:jc w:val="both"/>
        <w:textAlignment w:val="auto"/>
        <w:rPr>
          <w:rFonts w:ascii="楷体_GB2312" w:hAnsi="楷体_GB2312" w:eastAsia="楷体_GB2312" w:cs="楷体_GB2312"/>
          <w:b w:val="0"/>
          <w:bCs w:val="0"/>
          <w:sz w:val="32"/>
          <w:szCs w:val="32"/>
        </w:rPr>
      </w:pPr>
      <w:bookmarkStart w:id="94" w:name="_Toc23986"/>
      <w:bookmarkStart w:id="95" w:name="_Toc20566"/>
      <w:bookmarkStart w:id="96" w:name="_Toc2726"/>
      <w:bookmarkStart w:id="97" w:name="_Toc70524120"/>
      <w:r>
        <w:rPr>
          <w:rFonts w:hint="eastAsia" w:ascii="楷体_GB2312" w:hAnsi="楷体_GB2312" w:eastAsia="楷体_GB2312" w:cs="楷体_GB2312"/>
          <w:b w:val="0"/>
          <w:bCs w:val="0"/>
          <w:sz w:val="32"/>
          <w:szCs w:val="32"/>
          <w:lang w:eastAsia="zh-CN"/>
        </w:rPr>
        <w:t>（四）</w:t>
      </w:r>
      <w:r>
        <w:rPr>
          <w:rFonts w:hint="eastAsia" w:ascii="楷体_GB2312" w:hAnsi="楷体_GB2312" w:eastAsia="楷体_GB2312" w:cs="楷体_GB2312"/>
          <w:b w:val="0"/>
          <w:bCs w:val="0"/>
          <w:sz w:val="32"/>
          <w:szCs w:val="32"/>
        </w:rPr>
        <w:t>持续改善人居环境，助推全域城镇化</w:t>
      </w:r>
      <w:bookmarkEnd w:id="94"/>
      <w:bookmarkEnd w:id="95"/>
      <w:bookmarkEnd w:id="96"/>
      <w:bookmarkEnd w:id="97"/>
    </w:p>
    <w:p>
      <w:pPr>
        <w:pageBreakBefore w:val="0"/>
        <w:widowControl w:val="0"/>
        <w:kinsoku/>
        <w:wordWrap/>
        <w:overflowPunct/>
        <w:topLinePunct w:val="0"/>
        <w:autoSpaceDE/>
        <w:autoSpaceDN/>
        <w:bidi w:val="0"/>
        <w:adjustRightInd w:val="0"/>
        <w:snapToGrid w:val="0"/>
        <w:spacing w:after="120" w:line="560" w:lineRule="exact"/>
        <w:ind w:left="0" w:firstLine="640" w:firstLineChars="200"/>
        <w:jc w:val="both"/>
        <w:textAlignment w:val="auto"/>
        <w:rPr>
          <w:rFonts w:ascii="仿宋_GB2312" w:hAnsi="仿宋" w:eastAsia="仿宋_GB2312" w:cs="仿宋"/>
          <w:sz w:val="32"/>
          <w:szCs w:val="32"/>
        </w:rPr>
      </w:pPr>
      <w:r>
        <w:rPr>
          <w:rFonts w:hint="eastAsia" w:ascii="仿宋_GB2312" w:hAnsi="仿宋" w:eastAsia="仿宋_GB2312" w:cs="仿宋"/>
          <w:bCs/>
          <w:sz w:val="32"/>
          <w:szCs w:val="32"/>
        </w:rPr>
        <w:t>实施人居环境整治提升行动。</w:t>
      </w:r>
      <w:r>
        <w:rPr>
          <w:rFonts w:hint="eastAsia" w:ascii="仿宋_GB2312" w:hAnsi="仿宋" w:eastAsia="仿宋_GB2312" w:cs="仿宋"/>
          <w:sz w:val="32"/>
          <w:szCs w:val="32"/>
        </w:rPr>
        <w:t>全面启动实施农村人居环境整治五年提升行动，深化全域清洁化工程，</w:t>
      </w:r>
      <w:r>
        <w:rPr>
          <w:rFonts w:hint="eastAsia" w:ascii="仿宋_GB2312" w:hAnsi="仿宋" w:eastAsia="仿宋_GB2312" w:cs="仿宋"/>
          <w:bCs/>
          <w:sz w:val="32"/>
          <w:szCs w:val="32"/>
        </w:rPr>
        <w:t>全面推进城乡环卫一体化改革，将未拆迁村纳入环卫一体化扫保范畴，加快推进老村台拆迁滞留户腾退工作，通过政府购买服务方式解决未拆迁村生活垃圾清运问题，</w:t>
      </w:r>
      <w:r>
        <w:rPr>
          <w:rFonts w:hint="eastAsia" w:ascii="仿宋_GB2312" w:hAnsi="仿宋" w:eastAsia="仿宋_GB2312" w:cs="仿宋"/>
          <w:sz w:val="32"/>
          <w:szCs w:val="32"/>
        </w:rPr>
        <w:t>实现建成区范围内公共机构、相关企业和社区生活垃圾分类全覆盖，达到干净、整洁、美化目标。</w:t>
      </w:r>
    </w:p>
    <w:p>
      <w:pPr>
        <w:pageBreakBefore w:val="0"/>
        <w:widowControl w:val="0"/>
        <w:kinsoku/>
        <w:wordWrap/>
        <w:overflowPunct/>
        <w:topLinePunct w:val="0"/>
        <w:autoSpaceDE/>
        <w:autoSpaceDN/>
        <w:bidi w:val="0"/>
        <w:adjustRightInd w:val="0"/>
        <w:snapToGrid w:val="0"/>
        <w:spacing w:after="120" w:line="560" w:lineRule="exact"/>
        <w:ind w:left="0" w:firstLine="640" w:firstLineChars="200"/>
        <w:jc w:val="both"/>
        <w:textAlignment w:val="auto"/>
        <w:rPr>
          <w:rFonts w:ascii="仿宋_GB2312" w:hAnsi="仿宋" w:eastAsia="仿宋_GB2312" w:cs="仿宋"/>
          <w:sz w:val="32"/>
          <w:szCs w:val="32"/>
        </w:rPr>
      </w:pPr>
      <w:r>
        <w:rPr>
          <w:rFonts w:hint="eastAsia" w:ascii="仿宋_GB2312" w:hAnsi="仿宋" w:eastAsia="仿宋_GB2312" w:cs="仿宋"/>
          <w:bCs/>
          <w:sz w:val="32"/>
          <w:szCs w:val="32"/>
        </w:rPr>
        <w:t>补齐基础设施短板。</w:t>
      </w:r>
      <w:r>
        <w:rPr>
          <w:rFonts w:hint="eastAsia" w:ascii="仿宋_GB2312" w:hAnsi="仿宋" w:eastAsia="仿宋_GB2312" w:cs="仿宋"/>
          <w:sz w:val="32"/>
          <w:szCs w:val="32"/>
        </w:rPr>
        <w:t>重点围绕环境卫生、房屋质量、绿化设施、垃圾分类和处理设施等方面的短板，包括重点农业园区及人员密集场所建设公厕等，切实查漏洞、补短板、强弱项，持续改善居民的人居环境。</w:t>
      </w:r>
    </w:p>
    <w:p>
      <w:pPr>
        <w:adjustRightInd w:val="0"/>
        <w:snapToGrid w:val="0"/>
        <w:spacing w:beforeLines="50" w:afterLines="50"/>
        <w:jc w:val="center"/>
        <w:outlineLvl w:val="1"/>
        <w:rPr>
          <w:rFonts w:ascii="楷体" w:hAnsi="楷体" w:eastAsia="楷体" w:cs="楷体"/>
          <w:b/>
          <w:bCs/>
          <w:sz w:val="30"/>
          <w:szCs w:val="30"/>
        </w:rPr>
      </w:pPr>
      <w:bookmarkStart w:id="98" w:name="_Toc23505"/>
      <w:bookmarkStart w:id="99" w:name="_Toc9072"/>
      <w:bookmarkStart w:id="100" w:name="_Toc42"/>
      <w:bookmarkStart w:id="101" w:name="_Toc70524121"/>
      <w:r>
        <w:rPr>
          <w:rFonts w:hint="eastAsia" w:ascii="楷体" w:hAnsi="楷体" w:eastAsia="楷体" w:cs="楷体"/>
          <w:b/>
          <w:bCs/>
          <w:sz w:val="30"/>
          <w:szCs w:val="30"/>
        </w:rPr>
        <w:t>专栏2  生态环境和人居环境改善重点工程</w:t>
      </w:r>
      <w:bookmarkEnd w:id="98"/>
      <w:bookmarkEnd w:id="99"/>
      <w:bookmarkEnd w:id="100"/>
      <w:bookmarkEnd w:id="101"/>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keepNext w:val="0"/>
              <w:keepLines w:val="0"/>
              <w:pageBreakBefore w:val="0"/>
              <w:widowControl w:val="0"/>
              <w:kinsoku/>
              <w:wordWrap/>
              <w:overflowPunct/>
              <w:topLinePunct w:val="0"/>
              <w:autoSpaceDE/>
              <w:autoSpaceDN/>
              <w:bidi w:val="0"/>
              <w:adjustRightInd w:val="0"/>
              <w:snapToGrid w:val="0"/>
              <w:spacing w:line="440" w:lineRule="exact"/>
              <w:ind w:left="0" w:firstLine="562" w:firstLineChars="200"/>
              <w:textAlignment w:val="auto"/>
              <w:rPr>
                <w:rFonts w:ascii="仿宋" w:hAnsi="仿宋" w:eastAsia="仿宋" w:cs="仿宋"/>
                <w:bCs/>
                <w:sz w:val="28"/>
                <w:szCs w:val="28"/>
              </w:rPr>
            </w:pPr>
            <w:r>
              <w:rPr>
                <w:rFonts w:hint="eastAsia" w:ascii="仿宋" w:hAnsi="仿宋" w:eastAsia="仿宋" w:cs="仿宋"/>
                <w:b/>
                <w:sz w:val="28"/>
                <w:szCs w:val="28"/>
              </w:rPr>
              <w:t>1、绿色生态屏障区（南片区）储备林工程。</w:t>
            </w:r>
            <w:r>
              <w:rPr>
                <w:rFonts w:hint="eastAsia" w:ascii="仿宋" w:hAnsi="仿宋" w:eastAsia="仿宋" w:cs="仿宋"/>
                <w:bCs/>
                <w:sz w:val="28"/>
                <w:szCs w:val="28"/>
              </w:rPr>
              <w:t>项目位于金桥街，占地面积17435亩，完成绿化造林任务，实施土地平整，实现东河、东减河等主要河流水系连通，河流水质有效改善。到</w:t>
            </w:r>
            <w:r>
              <w:rPr>
                <w:rFonts w:ascii="仿宋" w:hAnsi="仿宋" w:eastAsia="仿宋" w:cs="仿宋"/>
                <w:bCs/>
                <w:sz w:val="28"/>
                <w:szCs w:val="28"/>
              </w:rPr>
              <w:t>2025</w:t>
            </w:r>
            <w:r>
              <w:rPr>
                <w:rFonts w:hint="eastAsia" w:ascii="仿宋" w:hAnsi="仿宋" w:eastAsia="仿宋" w:cs="仿宋"/>
                <w:bCs/>
                <w:sz w:val="28"/>
                <w:szCs w:val="28"/>
              </w:rPr>
              <w:t>年，绿芯区域形成成林、片林生态格局，一级管控区蓝绿空间占比达到85%，生态屏障区蓝绿空间占比达到65%的建设目标。</w:t>
            </w:r>
          </w:p>
          <w:p>
            <w:pPr>
              <w:keepNext w:val="0"/>
              <w:keepLines w:val="0"/>
              <w:pageBreakBefore w:val="0"/>
              <w:widowControl w:val="0"/>
              <w:kinsoku/>
              <w:wordWrap/>
              <w:overflowPunct/>
              <w:topLinePunct w:val="0"/>
              <w:autoSpaceDE/>
              <w:autoSpaceDN/>
              <w:bidi w:val="0"/>
              <w:snapToGrid w:val="0"/>
              <w:spacing w:line="440" w:lineRule="exact"/>
              <w:ind w:left="0" w:firstLine="562" w:firstLineChars="200"/>
              <w:textAlignment w:val="auto"/>
              <w:rPr>
                <w:rFonts w:ascii="仿宋" w:hAnsi="仿宋" w:eastAsia="仿宋" w:cs="仿宋"/>
                <w:sz w:val="28"/>
                <w:szCs w:val="28"/>
              </w:rPr>
            </w:pPr>
            <w:r>
              <w:rPr>
                <w:rFonts w:hint="eastAsia" w:ascii="仿宋" w:hAnsi="仿宋" w:eastAsia="仿宋" w:cs="仿宋"/>
                <w:b/>
                <w:sz w:val="28"/>
                <w:szCs w:val="28"/>
              </w:rPr>
              <w:t>2、金钟河沿岸生态修复工程。</w:t>
            </w:r>
            <w:r>
              <w:rPr>
                <w:rFonts w:hint="eastAsia" w:ascii="仿宋" w:hAnsi="仿宋" w:eastAsia="仿宋" w:cs="仿宋"/>
                <w:sz w:val="28"/>
                <w:szCs w:val="28"/>
              </w:rPr>
              <w:t>项目建设地点位于东丽区金钟河北侧，占地面积约3400亩，采用“强化复合式潜流湿地+表流湿地+自然湿地”的旁路湿地净化工艺，处理金钟河河道水及工程西侧规划生态农业排水。通过对退渔养殖塘进行生态修复，设计出水水质优于Ⅳ类水质标准。</w:t>
            </w:r>
          </w:p>
          <w:p>
            <w:pPr>
              <w:keepNext w:val="0"/>
              <w:keepLines w:val="0"/>
              <w:pageBreakBefore w:val="0"/>
              <w:widowControl w:val="0"/>
              <w:kinsoku/>
              <w:wordWrap/>
              <w:overflowPunct/>
              <w:topLinePunct w:val="0"/>
              <w:autoSpaceDE/>
              <w:autoSpaceDN/>
              <w:bidi w:val="0"/>
              <w:snapToGrid w:val="0"/>
              <w:spacing w:line="440" w:lineRule="exact"/>
              <w:ind w:left="0" w:firstLine="562" w:firstLineChars="200"/>
              <w:textAlignment w:val="auto"/>
              <w:rPr>
                <w:rFonts w:ascii="仿宋" w:hAnsi="仿宋" w:eastAsia="仿宋" w:cs="仿宋"/>
                <w:sz w:val="28"/>
                <w:szCs w:val="28"/>
              </w:rPr>
            </w:pPr>
            <w:r>
              <w:rPr>
                <w:rFonts w:hint="eastAsia" w:ascii="仿宋" w:hAnsi="仿宋" w:eastAsia="仿宋" w:cs="仿宋"/>
                <w:b/>
                <w:sz w:val="28"/>
                <w:szCs w:val="28"/>
              </w:rPr>
              <w:t>3、农业用水供水水源转换工程。</w:t>
            </w:r>
            <w:r>
              <w:rPr>
                <w:rFonts w:hint="eastAsia" w:ascii="仿宋" w:hAnsi="仿宋" w:eastAsia="仿宋" w:cs="仿宋"/>
                <w:sz w:val="28"/>
                <w:szCs w:val="28"/>
              </w:rPr>
              <w:t>利用5亿元政府专项债资金，通过对9万余亩集中连片耕地（其中近90%在生态屏障区内）实施供水水源转换、灌溉设施提升、沟渠疏通、泵站维修及水系连通等工程。到2025年，农业供水保证率由现状的50%提高到75%，灌溉水利用效率由现状的0.70提高到0.77。</w:t>
            </w:r>
          </w:p>
        </w:tc>
      </w:tr>
    </w:tbl>
    <w:p>
      <w:pPr>
        <w:pStyle w:val="3"/>
        <w:rPr>
          <w:rFonts w:hint="eastAsia"/>
        </w:rPr>
      </w:pPr>
      <w:bookmarkStart w:id="102" w:name="_Toc13804"/>
      <w:bookmarkStart w:id="103" w:name="_Toc22560"/>
      <w:bookmarkStart w:id="104" w:name="_Toc7062"/>
      <w:bookmarkStart w:id="105" w:name="_Toc70524122"/>
    </w:p>
    <w:p>
      <w:pPr>
        <w:pStyle w:val="3"/>
        <w:pageBreakBefore w:val="0"/>
        <w:widowControl w:val="0"/>
        <w:kinsoku/>
        <w:wordWrap/>
        <w:overflowPunct/>
        <w:topLinePunct w:val="0"/>
        <w:autoSpaceDE/>
        <w:autoSpaceDN/>
        <w:bidi w:val="0"/>
        <w:spacing w:line="560" w:lineRule="exact"/>
        <w:ind w:left="0" w:firstLine="640" w:firstLineChars="200"/>
        <w:jc w:val="both"/>
        <w:textAlignment w:val="auto"/>
      </w:pPr>
      <w:r>
        <w:rPr>
          <w:rFonts w:hint="eastAsia"/>
        </w:rPr>
        <w:t>六、厚植文化优势，推进文明新风建设和文化繁荣</w:t>
      </w:r>
      <w:bookmarkEnd w:id="102"/>
      <w:bookmarkEnd w:id="103"/>
      <w:bookmarkEnd w:id="104"/>
      <w:bookmarkEnd w:id="105"/>
    </w:p>
    <w:p>
      <w:pPr>
        <w:pageBreakBefore w:val="0"/>
        <w:widowControl w:val="0"/>
        <w:kinsoku/>
        <w:wordWrap/>
        <w:overflowPunct/>
        <w:topLinePunct w:val="0"/>
        <w:autoSpaceDE/>
        <w:autoSpaceDN/>
        <w:bidi w:val="0"/>
        <w:adjustRightInd w:val="0"/>
        <w:snapToGrid w:val="0"/>
        <w:spacing w:line="560" w:lineRule="exact"/>
        <w:ind w:left="0" w:firstLine="640" w:firstLineChars="200"/>
        <w:jc w:val="both"/>
        <w:textAlignment w:val="auto"/>
        <w:rPr>
          <w:rFonts w:ascii="仿宋_GB2312" w:hAnsi="仿宋" w:eastAsia="仿宋_GB2312" w:cs="仿宋"/>
          <w:sz w:val="32"/>
          <w:szCs w:val="32"/>
        </w:rPr>
      </w:pPr>
      <w:bookmarkStart w:id="106" w:name="_Toc18372"/>
      <w:r>
        <w:rPr>
          <w:rFonts w:hint="eastAsia" w:ascii="仿宋_GB2312" w:hAnsi="仿宋" w:eastAsia="仿宋_GB2312" w:cs="仿宋"/>
          <w:sz w:val="32"/>
          <w:szCs w:val="32"/>
        </w:rPr>
        <w:t>加强新时代精神文明建设，弘扬和践行社会主义核心价值观，培育涵养优良家风、淳朴民风、文明新风，不断提高新市民文明素质和社会文明程度。</w:t>
      </w:r>
    </w:p>
    <w:p>
      <w:pPr>
        <w:pStyle w:val="4"/>
        <w:pageBreakBefore w:val="0"/>
        <w:widowControl w:val="0"/>
        <w:kinsoku/>
        <w:wordWrap/>
        <w:overflowPunct/>
        <w:topLinePunct w:val="0"/>
        <w:autoSpaceDE/>
        <w:autoSpaceDN/>
        <w:bidi w:val="0"/>
        <w:spacing w:before="0" w:after="0" w:line="560" w:lineRule="exact"/>
        <w:ind w:left="0" w:firstLine="640" w:firstLineChars="200"/>
        <w:jc w:val="both"/>
        <w:textAlignment w:val="auto"/>
        <w:rPr>
          <w:rFonts w:ascii="楷体_GB2312" w:hAnsi="楷体_GB2312" w:eastAsia="楷体_GB2312" w:cs="楷体_GB2312"/>
          <w:b w:val="0"/>
          <w:bCs w:val="0"/>
          <w:sz w:val="32"/>
          <w:szCs w:val="32"/>
        </w:rPr>
      </w:pPr>
      <w:bookmarkStart w:id="107" w:name="_Toc6373"/>
      <w:bookmarkStart w:id="108" w:name="_Toc12508"/>
      <w:bookmarkStart w:id="109" w:name="_Toc70524123"/>
      <w:r>
        <w:rPr>
          <w:rFonts w:hint="eastAsia" w:ascii="楷体_GB2312" w:hAnsi="楷体_GB2312" w:eastAsia="楷体_GB2312" w:cs="楷体_GB2312"/>
          <w:b w:val="0"/>
          <w:bCs w:val="0"/>
          <w:sz w:val="32"/>
          <w:szCs w:val="32"/>
          <w:lang w:eastAsia="zh-CN"/>
        </w:rPr>
        <w:t>（一）</w:t>
      </w:r>
      <w:r>
        <w:rPr>
          <w:rFonts w:hint="eastAsia" w:ascii="楷体_GB2312" w:hAnsi="楷体_GB2312" w:eastAsia="楷体_GB2312" w:cs="楷体_GB2312"/>
          <w:b w:val="0"/>
          <w:bCs w:val="0"/>
          <w:sz w:val="32"/>
          <w:szCs w:val="32"/>
        </w:rPr>
        <w:t>加强新市民思想道德建设</w:t>
      </w:r>
      <w:bookmarkEnd w:id="106"/>
      <w:bookmarkEnd w:id="107"/>
      <w:bookmarkEnd w:id="108"/>
      <w:bookmarkEnd w:id="109"/>
    </w:p>
    <w:p>
      <w:pPr>
        <w:pageBreakBefore w:val="0"/>
        <w:widowControl w:val="0"/>
        <w:kinsoku/>
        <w:wordWrap/>
        <w:overflowPunct/>
        <w:topLinePunct w:val="0"/>
        <w:autoSpaceDE/>
        <w:autoSpaceDN/>
        <w:bidi w:val="0"/>
        <w:adjustRightInd w:val="0"/>
        <w:snapToGrid w:val="0"/>
        <w:spacing w:line="560" w:lineRule="exact"/>
        <w:ind w:left="0" w:firstLine="640" w:firstLineChars="200"/>
        <w:jc w:val="both"/>
        <w:textAlignment w:val="auto"/>
        <w:rPr>
          <w:rFonts w:ascii="仿宋_GB2312" w:hAnsi="仿宋" w:eastAsia="仿宋_GB2312" w:cs="仿宋"/>
          <w:sz w:val="32"/>
          <w:szCs w:val="32"/>
        </w:rPr>
      </w:pPr>
      <w:r>
        <w:rPr>
          <w:rFonts w:hint="eastAsia" w:ascii="仿宋_GB2312" w:hAnsi="仿宋" w:eastAsia="仿宋_GB2312" w:cs="仿宋"/>
          <w:bCs/>
          <w:sz w:val="32"/>
          <w:szCs w:val="32"/>
        </w:rPr>
        <w:t>深化理想信念教育。</w:t>
      </w:r>
      <w:r>
        <w:rPr>
          <w:rFonts w:hint="eastAsia" w:ascii="仿宋_GB2312" w:hAnsi="仿宋" w:eastAsia="仿宋_GB2312" w:cs="仿宋"/>
          <w:sz w:val="32"/>
          <w:szCs w:val="32"/>
        </w:rPr>
        <w:t>坚持教育引导、实践养成、制度保障三管齐下的建设方式，推进理想信念教育常态化、制度化，加强习近平新时代中国特色社会主义思想的宣传教育。以弘扬和践行社会主义核心价值观为主线，以培育时代新市民为核心，全面提升新市民的文明素质。</w:t>
      </w:r>
    </w:p>
    <w:p>
      <w:pPr>
        <w:pageBreakBefore w:val="0"/>
        <w:widowControl w:val="0"/>
        <w:kinsoku/>
        <w:wordWrap/>
        <w:overflowPunct/>
        <w:topLinePunct w:val="0"/>
        <w:autoSpaceDE/>
        <w:autoSpaceDN/>
        <w:bidi w:val="0"/>
        <w:adjustRightInd w:val="0"/>
        <w:snapToGrid w:val="0"/>
        <w:spacing w:line="560" w:lineRule="exact"/>
        <w:ind w:left="0" w:firstLine="640" w:firstLineChars="200"/>
        <w:jc w:val="both"/>
        <w:textAlignment w:val="auto"/>
        <w:rPr>
          <w:rFonts w:ascii="仿宋_GB2312" w:hAnsi="仿宋" w:eastAsia="仿宋_GB2312" w:cs="仿宋"/>
          <w:sz w:val="32"/>
          <w:szCs w:val="32"/>
        </w:rPr>
      </w:pPr>
      <w:r>
        <w:rPr>
          <w:rFonts w:hint="eastAsia" w:ascii="仿宋_GB2312" w:hAnsi="仿宋" w:eastAsia="仿宋_GB2312" w:cs="仿宋"/>
          <w:bCs/>
          <w:sz w:val="32"/>
          <w:szCs w:val="32"/>
        </w:rPr>
        <w:t>加强道德素质养成。</w:t>
      </w:r>
      <w:r>
        <w:rPr>
          <w:rFonts w:hint="eastAsia" w:ascii="仿宋_GB2312" w:hAnsi="仿宋" w:eastAsia="仿宋_GB2312" w:cs="仿宋"/>
          <w:sz w:val="32"/>
          <w:szCs w:val="32"/>
        </w:rPr>
        <w:t>弘扬中华民族传统美德，加强社会公德、职业道德、家庭美德、个人品德教育，引导新市民向往和追求讲道德、尊道德、守道德的文明生活。推进公民道德建设全覆盖，大力选树身边好人、道德模范等先进典型，用嘉言懿行教育人、感染人。加强家风、家教、家训建设，弘扬中华孝道和崇尚勤俭节约、勤劳致富的传统美德，开展以“劳动创造幸福”等为主题的宣传教育活动。</w:t>
      </w:r>
    </w:p>
    <w:p>
      <w:pPr>
        <w:pStyle w:val="4"/>
        <w:pageBreakBefore w:val="0"/>
        <w:widowControl w:val="0"/>
        <w:kinsoku/>
        <w:wordWrap/>
        <w:overflowPunct/>
        <w:topLinePunct w:val="0"/>
        <w:autoSpaceDE/>
        <w:autoSpaceDN/>
        <w:bidi w:val="0"/>
        <w:spacing w:before="0" w:after="0" w:line="560" w:lineRule="exact"/>
        <w:ind w:left="0" w:firstLine="640" w:firstLineChars="200"/>
        <w:jc w:val="both"/>
        <w:textAlignment w:val="auto"/>
        <w:rPr>
          <w:rFonts w:ascii="楷体_GB2312" w:hAnsi="楷体_GB2312" w:eastAsia="楷体_GB2312" w:cs="楷体_GB2312"/>
          <w:b w:val="0"/>
          <w:bCs w:val="0"/>
          <w:sz w:val="32"/>
          <w:szCs w:val="32"/>
        </w:rPr>
      </w:pPr>
      <w:bookmarkStart w:id="110" w:name="_Toc9846"/>
      <w:bookmarkStart w:id="111" w:name="_Toc29465"/>
      <w:bookmarkStart w:id="112" w:name="_Toc10063"/>
      <w:bookmarkStart w:id="113" w:name="_Toc70524124"/>
      <w:r>
        <w:rPr>
          <w:rFonts w:hint="eastAsia" w:ascii="楷体_GB2312" w:hAnsi="楷体_GB2312" w:eastAsia="楷体_GB2312" w:cs="楷体_GB2312"/>
          <w:b w:val="0"/>
          <w:bCs w:val="0"/>
          <w:sz w:val="32"/>
          <w:szCs w:val="32"/>
          <w:lang w:eastAsia="zh-CN"/>
        </w:rPr>
        <w:t>（二）</w:t>
      </w:r>
      <w:r>
        <w:rPr>
          <w:rFonts w:hint="eastAsia" w:ascii="楷体_GB2312" w:hAnsi="楷体_GB2312" w:eastAsia="楷体_GB2312" w:cs="楷体_GB2312"/>
          <w:b w:val="0"/>
          <w:bCs w:val="0"/>
          <w:sz w:val="32"/>
          <w:szCs w:val="32"/>
        </w:rPr>
        <w:t>完善新市镇公共文化服务体系</w:t>
      </w:r>
      <w:bookmarkEnd w:id="110"/>
      <w:bookmarkEnd w:id="111"/>
      <w:bookmarkEnd w:id="112"/>
      <w:bookmarkEnd w:id="113"/>
    </w:p>
    <w:p>
      <w:pPr>
        <w:pageBreakBefore w:val="0"/>
        <w:widowControl w:val="0"/>
        <w:kinsoku/>
        <w:wordWrap/>
        <w:overflowPunct/>
        <w:topLinePunct w:val="0"/>
        <w:autoSpaceDE/>
        <w:autoSpaceDN/>
        <w:bidi w:val="0"/>
        <w:adjustRightInd w:val="0"/>
        <w:snapToGrid w:val="0"/>
        <w:spacing w:line="560" w:lineRule="exact"/>
        <w:ind w:left="0" w:firstLine="640" w:firstLineChars="200"/>
        <w:jc w:val="both"/>
        <w:textAlignment w:val="auto"/>
        <w:rPr>
          <w:rFonts w:ascii="仿宋_GB2312" w:hAnsi="仿宋" w:eastAsia="仿宋_GB2312" w:cs="仿宋"/>
          <w:sz w:val="32"/>
          <w:szCs w:val="32"/>
        </w:rPr>
      </w:pPr>
      <w:r>
        <w:rPr>
          <w:rFonts w:hint="eastAsia" w:ascii="仿宋_GB2312" w:hAnsi="仿宋" w:eastAsia="仿宋_GB2312" w:cs="仿宋"/>
          <w:bCs/>
          <w:sz w:val="32"/>
          <w:szCs w:val="32"/>
        </w:rPr>
        <w:t>优化公共文化服务网络。</w:t>
      </w:r>
      <w:r>
        <w:rPr>
          <w:rFonts w:hint="eastAsia" w:ascii="仿宋_GB2312" w:hAnsi="仿宋" w:eastAsia="仿宋_GB2312" w:cs="仿宋"/>
          <w:sz w:val="32"/>
          <w:szCs w:val="32"/>
        </w:rPr>
        <w:t>对接天津市公共文化服务体系，依托党群服务中心建设街道文化中心、社区综合性文化服务中心，同步提升全民健身活动中心、社区健身园，构建三级公共文体服务网络。推动基层公共文化一体化发展，推进图书馆在新市镇建设分馆，实现与区图书馆、市图书馆通借通还，推动农家书屋向社区书吧转型，完善15分钟文化服务圈，大力开展流动服务和数字服务，建设基层综合性文化服务中心，促进公共文化资源向基层延伸，着力打通公共文化服务“最后一公里”。助推政府向社会购买公共文化服务，开展“菜单式”、“订单式”公共文化供给服务。到2025年，新市镇公共文化设施实现全覆盖，公共文化服务质量显著提升。</w:t>
      </w:r>
    </w:p>
    <w:p>
      <w:pPr>
        <w:pageBreakBefore w:val="0"/>
        <w:widowControl w:val="0"/>
        <w:kinsoku/>
        <w:wordWrap/>
        <w:overflowPunct/>
        <w:topLinePunct w:val="0"/>
        <w:autoSpaceDE/>
        <w:autoSpaceDN/>
        <w:bidi w:val="0"/>
        <w:adjustRightInd w:val="0"/>
        <w:snapToGrid w:val="0"/>
        <w:spacing w:line="560" w:lineRule="exact"/>
        <w:ind w:left="0" w:firstLine="640" w:firstLineChars="200"/>
        <w:jc w:val="both"/>
        <w:textAlignment w:val="auto"/>
        <w:rPr>
          <w:rFonts w:ascii="仿宋_GB2312" w:hAnsi="仿宋" w:eastAsia="仿宋_GB2312" w:cs="仿宋"/>
          <w:sz w:val="32"/>
          <w:szCs w:val="32"/>
        </w:rPr>
      </w:pPr>
      <w:r>
        <w:rPr>
          <w:rFonts w:hint="eastAsia" w:ascii="仿宋_GB2312" w:hAnsi="仿宋" w:eastAsia="仿宋_GB2312" w:cs="仿宋"/>
          <w:bCs/>
          <w:sz w:val="32"/>
          <w:szCs w:val="32"/>
        </w:rPr>
        <w:t>推动公共文化数字化建设。</w:t>
      </w:r>
      <w:r>
        <w:rPr>
          <w:rFonts w:hint="eastAsia" w:ascii="仿宋_GB2312" w:hAnsi="仿宋" w:eastAsia="仿宋_GB2312" w:cs="仿宋"/>
          <w:sz w:val="32"/>
          <w:szCs w:val="32"/>
        </w:rPr>
        <w:t>积极探索“互联网+公共文化”服务模式，整合各类文化资源，运用云计算、大数据等现代数字技术手段，建设东丽文化云平台，提升公共文化服务效能，积极发挥新媒体的作用,促使新市民能便捷获取优质数字文化资源。</w:t>
      </w:r>
    </w:p>
    <w:p>
      <w:pPr>
        <w:pageBreakBefore w:val="0"/>
        <w:widowControl w:val="0"/>
        <w:kinsoku/>
        <w:wordWrap/>
        <w:overflowPunct/>
        <w:topLinePunct w:val="0"/>
        <w:autoSpaceDE/>
        <w:autoSpaceDN/>
        <w:bidi w:val="0"/>
        <w:adjustRightInd w:val="0"/>
        <w:snapToGrid w:val="0"/>
        <w:spacing w:line="560" w:lineRule="exact"/>
        <w:ind w:left="0" w:firstLine="640" w:firstLineChars="200"/>
        <w:jc w:val="both"/>
        <w:textAlignment w:val="auto"/>
        <w:rPr>
          <w:rFonts w:ascii="仿宋_GB2312" w:hAnsi="仿宋" w:eastAsia="仿宋_GB2312" w:cs="仿宋"/>
          <w:sz w:val="32"/>
          <w:szCs w:val="32"/>
        </w:rPr>
      </w:pPr>
      <w:r>
        <w:rPr>
          <w:rFonts w:hint="eastAsia" w:ascii="仿宋_GB2312" w:hAnsi="仿宋" w:eastAsia="仿宋_GB2312" w:cs="仿宋"/>
          <w:bCs/>
          <w:sz w:val="32"/>
          <w:szCs w:val="32"/>
        </w:rPr>
        <w:t>广泛开展群众文化活动。</w:t>
      </w:r>
      <w:r>
        <w:rPr>
          <w:rFonts w:hint="eastAsia" w:ascii="仿宋_GB2312" w:hAnsi="仿宋" w:eastAsia="仿宋_GB2312" w:cs="仿宋"/>
          <w:sz w:val="32"/>
          <w:szCs w:val="32"/>
        </w:rPr>
        <w:t>完善群众文艺扶持机制,开展形式多样的宣传教育、科学普及和文化娱乐活动。加强“基层文化百团”建设，支持鼓励群众成立读书会等群众文化活动团队，培育基层文化人才，繁荣文艺创作，促进群众喜闻乐见、特色鲜明、滋养涵育人心的文艺精品创作。深入推进文化惠民，扩大“东丽杯”、“文化双百”等文化活动品牌的影响力，加强公益培训和文化志愿服务。鼓励开展群众性节日民俗活动,办好民间“村晚”、民俗文化、传统体育活动，激发基层群众文化主体意识和文化创造力，打造“一街一品”、“一社区一品”等精品活动。广泛开展全民阅读活动，建设书香新市镇。</w:t>
      </w:r>
    </w:p>
    <w:p>
      <w:pPr>
        <w:pStyle w:val="4"/>
        <w:pageBreakBefore w:val="0"/>
        <w:widowControl w:val="0"/>
        <w:kinsoku/>
        <w:wordWrap/>
        <w:overflowPunct/>
        <w:topLinePunct w:val="0"/>
        <w:autoSpaceDE/>
        <w:autoSpaceDN/>
        <w:bidi w:val="0"/>
        <w:spacing w:before="0" w:after="0" w:line="560" w:lineRule="exact"/>
        <w:ind w:left="0" w:firstLine="640" w:firstLineChars="200"/>
        <w:jc w:val="both"/>
        <w:textAlignment w:val="auto"/>
        <w:rPr>
          <w:rFonts w:ascii="楷体_GB2312" w:hAnsi="楷体_GB2312" w:eastAsia="楷体_GB2312" w:cs="楷体_GB2312"/>
          <w:b w:val="0"/>
          <w:bCs w:val="0"/>
          <w:sz w:val="32"/>
          <w:szCs w:val="32"/>
        </w:rPr>
      </w:pPr>
      <w:bookmarkStart w:id="114" w:name="_Toc8179"/>
      <w:bookmarkStart w:id="115" w:name="_Toc29825"/>
      <w:bookmarkStart w:id="116" w:name="_Toc22957"/>
      <w:bookmarkStart w:id="117" w:name="_Toc70524125"/>
      <w:r>
        <w:rPr>
          <w:rFonts w:hint="eastAsia" w:ascii="楷体_GB2312" w:hAnsi="楷体_GB2312" w:eastAsia="楷体_GB2312" w:cs="楷体_GB2312"/>
          <w:b w:val="0"/>
          <w:bCs w:val="0"/>
          <w:sz w:val="32"/>
          <w:szCs w:val="32"/>
          <w:lang w:eastAsia="zh-CN"/>
        </w:rPr>
        <w:t>（三）</w:t>
      </w:r>
      <w:r>
        <w:rPr>
          <w:rFonts w:hint="eastAsia" w:ascii="楷体_GB2312" w:hAnsi="楷体_GB2312" w:eastAsia="楷体_GB2312" w:cs="楷体_GB2312"/>
          <w:b w:val="0"/>
          <w:bCs w:val="0"/>
          <w:sz w:val="32"/>
          <w:szCs w:val="32"/>
        </w:rPr>
        <w:t>弘扬传承优秀传统文化</w:t>
      </w:r>
      <w:bookmarkEnd w:id="114"/>
      <w:bookmarkEnd w:id="115"/>
      <w:bookmarkEnd w:id="116"/>
      <w:bookmarkEnd w:id="117"/>
    </w:p>
    <w:p>
      <w:pPr>
        <w:pageBreakBefore w:val="0"/>
        <w:widowControl w:val="0"/>
        <w:kinsoku/>
        <w:wordWrap/>
        <w:overflowPunct/>
        <w:topLinePunct w:val="0"/>
        <w:autoSpaceDE/>
        <w:autoSpaceDN/>
        <w:bidi w:val="0"/>
        <w:adjustRightInd w:val="0"/>
        <w:snapToGrid w:val="0"/>
        <w:spacing w:line="560" w:lineRule="exact"/>
        <w:ind w:left="0" w:firstLine="640" w:firstLineChars="200"/>
        <w:jc w:val="both"/>
        <w:textAlignment w:val="auto"/>
        <w:rPr>
          <w:rFonts w:ascii="仿宋_GB2312" w:hAnsi="仿宋" w:eastAsia="仿宋_GB2312" w:cs="仿宋"/>
          <w:sz w:val="32"/>
          <w:szCs w:val="32"/>
        </w:rPr>
      </w:pPr>
      <w:r>
        <w:rPr>
          <w:rFonts w:hint="eastAsia" w:ascii="仿宋_GB2312" w:hAnsi="仿宋" w:eastAsia="仿宋_GB2312" w:cs="仿宋"/>
          <w:bCs/>
          <w:sz w:val="32"/>
          <w:szCs w:val="32"/>
        </w:rPr>
        <w:t>保护传承历史文化遗产。</w:t>
      </w:r>
      <w:r>
        <w:rPr>
          <w:rFonts w:hint="eastAsia" w:ascii="仿宋_GB2312" w:hAnsi="仿宋" w:eastAsia="仿宋_GB2312" w:cs="仿宋"/>
          <w:sz w:val="32"/>
          <w:szCs w:val="32"/>
        </w:rPr>
        <w:t>加强文物资源的整合、统筹规划、整体保护和展示利用。发掘整理推广历代保留下来的乡规民约、族规家训、文史典籍，培育富于地方特色和时代精神的乡贤文化。以“寻踪觅源”的方式挖掘东丽区古今文化，对泰山行宫、老姆庙、娘娘庙为主的建筑遗迹，军粮城传说、金钟河传说为主的民间文学艺术，葛沽宝辇会为主的地方习俗，以市级排地歌谣、无瑕街大宋村旱船为主的传统演艺等传统文物资源的保护、研究、开发和利用，充分展示东丽“漕运”文化的魅力。</w:t>
      </w:r>
    </w:p>
    <w:p>
      <w:pPr>
        <w:pageBreakBefore w:val="0"/>
        <w:widowControl w:val="0"/>
        <w:kinsoku/>
        <w:wordWrap/>
        <w:overflowPunct/>
        <w:topLinePunct w:val="0"/>
        <w:autoSpaceDE/>
        <w:autoSpaceDN/>
        <w:bidi w:val="0"/>
        <w:adjustRightInd w:val="0"/>
        <w:snapToGrid w:val="0"/>
        <w:spacing w:line="560" w:lineRule="exact"/>
        <w:ind w:left="0" w:firstLine="640" w:firstLineChars="200"/>
        <w:jc w:val="both"/>
        <w:textAlignment w:val="auto"/>
        <w:rPr>
          <w:rFonts w:ascii="仿宋" w:hAnsi="仿宋" w:eastAsia="仿宋" w:cs="仿宋"/>
          <w:sz w:val="32"/>
          <w:szCs w:val="32"/>
        </w:rPr>
      </w:pPr>
      <w:r>
        <w:rPr>
          <w:rFonts w:hint="eastAsia" w:ascii="仿宋_GB2312" w:hAnsi="仿宋" w:eastAsia="仿宋_GB2312" w:cs="仿宋"/>
          <w:bCs/>
          <w:sz w:val="32"/>
          <w:szCs w:val="32"/>
        </w:rPr>
        <w:t>振兴特色乡土文化产业。</w:t>
      </w:r>
      <w:r>
        <w:rPr>
          <w:rFonts w:hint="eastAsia" w:ascii="仿宋_GB2312" w:hAnsi="仿宋" w:eastAsia="仿宋_GB2312" w:cs="仿宋"/>
          <w:sz w:val="32"/>
          <w:szCs w:val="32"/>
        </w:rPr>
        <w:t>振兴乡土文化，培养乡土文化本土人才,挖掘体现民俗风貌等特质文化，创新具有民族和地域特色的传统工艺产品，开发传统节日文化用品、民间艺术、民俗表演项目和传统手工艺，打造一批特色文化产业街和文化产业群，促进文化资源与现代消费需求有效对接，把优秀传统文化全方位融入各领域，不断满足人民群众的多元文化需求。</w:t>
      </w:r>
    </w:p>
    <w:p>
      <w:pPr>
        <w:adjustRightInd w:val="0"/>
        <w:snapToGrid w:val="0"/>
        <w:spacing w:beforeLines="50" w:afterLines="50"/>
        <w:jc w:val="center"/>
        <w:outlineLvl w:val="1"/>
        <w:rPr>
          <w:rFonts w:ascii="楷体" w:hAnsi="楷体" w:eastAsia="楷体" w:cs="楷体"/>
          <w:b/>
          <w:bCs/>
          <w:sz w:val="30"/>
          <w:szCs w:val="30"/>
        </w:rPr>
      </w:pPr>
      <w:bookmarkStart w:id="118" w:name="_Toc4489"/>
      <w:bookmarkStart w:id="119" w:name="_Toc2121"/>
      <w:bookmarkStart w:id="120" w:name="_Toc2470"/>
      <w:bookmarkStart w:id="121" w:name="_Toc70524126"/>
      <w:r>
        <w:rPr>
          <w:rFonts w:hint="eastAsia" w:ascii="楷体" w:hAnsi="楷体" w:eastAsia="楷体" w:cs="楷体"/>
          <w:b/>
          <w:bCs/>
          <w:sz w:val="30"/>
          <w:szCs w:val="30"/>
        </w:rPr>
        <w:t>专栏3 文明新风建设和文化繁荣重点工程</w:t>
      </w:r>
      <w:bookmarkEnd w:id="118"/>
      <w:bookmarkEnd w:id="119"/>
      <w:bookmarkEnd w:id="120"/>
      <w:bookmarkEnd w:id="121"/>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val="0"/>
              <w:spacing w:line="440" w:lineRule="exact"/>
              <w:ind w:left="0" w:firstLine="562" w:firstLineChars="200"/>
              <w:jc w:val="both"/>
              <w:textAlignment w:val="auto"/>
              <w:rPr>
                <w:rFonts w:ascii="仿宋" w:hAnsi="仿宋" w:eastAsia="仿宋" w:cs="仿宋"/>
                <w:sz w:val="28"/>
                <w:szCs w:val="28"/>
              </w:rPr>
            </w:pPr>
            <w:r>
              <w:rPr>
                <w:rFonts w:hint="eastAsia" w:ascii="仿宋" w:hAnsi="仿宋" w:eastAsia="仿宋" w:cs="仿宋"/>
                <w:b/>
                <w:sz w:val="28"/>
                <w:szCs w:val="28"/>
              </w:rPr>
              <w:t>1、公共数字文化建设工程。</w:t>
            </w:r>
            <w:r>
              <w:rPr>
                <w:rFonts w:hint="eastAsia" w:ascii="仿宋" w:hAnsi="仿宋" w:eastAsia="仿宋" w:cs="仿宋"/>
                <w:sz w:val="28"/>
                <w:szCs w:val="28"/>
              </w:rPr>
              <w:t>整合公共文化设施、文化百团、文化志愿者培训等各类文化资源，运用云计算、大数据现代数字技术手段，建设基于图书馆、文化馆、美术馆、博物馆、东丽礼堂五馆合一的东丽文化云平台。</w:t>
            </w:r>
          </w:p>
          <w:p>
            <w:pPr>
              <w:keepNext w:val="0"/>
              <w:keepLines w:val="0"/>
              <w:pageBreakBefore w:val="0"/>
              <w:widowControl w:val="0"/>
              <w:kinsoku/>
              <w:wordWrap/>
              <w:overflowPunct/>
              <w:topLinePunct w:val="0"/>
              <w:autoSpaceDE/>
              <w:autoSpaceDN/>
              <w:bidi w:val="0"/>
              <w:adjustRightInd/>
              <w:snapToGrid w:val="0"/>
              <w:spacing w:line="440" w:lineRule="exact"/>
              <w:ind w:left="0" w:firstLine="562" w:firstLineChars="200"/>
              <w:jc w:val="both"/>
              <w:textAlignment w:val="auto"/>
              <w:rPr>
                <w:rFonts w:ascii="仿宋" w:hAnsi="仿宋" w:eastAsia="仿宋" w:cs="仿宋"/>
                <w:sz w:val="28"/>
                <w:szCs w:val="28"/>
              </w:rPr>
            </w:pPr>
            <w:r>
              <w:rPr>
                <w:rFonts w:hint="eastAsia" w:ascii="仿宋" w:hAnsi="仿宋" w:eastAsia="仿宋" w:cs="仿宋"/>
                <w:b/>
                <w:sz w:val="28"/>
                <w:szCs w:val="28"/>
              </w:rPr>
              <w:t>2、历史文化遗产保护和活化利用工程。</w:t>
            </w:r>
            <w:r>
              <w:rPr>
                <w:rFonts w:hint="eastAsia" w:ascii="仿宋" w:hAnsi="仿宋" w:eastAsia="仿宋" w:cs="仿宋"/>
                <w:sz w:val="28"/>
                <w:szCs w:val="28"/>
              </w:rPr>
              <w:t>挖掘展现东丽“漕运”文化，开展老姆庙、大宋庙等传统文物资源的保护、研究、利用。实施历史遗迹资源传承保护和活化利用工程，收集文化遗产项目信息，积极利用现代数字媒体平台，打造数字化遗迹保护新模式，与东丽文化云平台对接进行大数据管理。</w:t>
            </w:r>
          </w:p>
        </w:tc>
      </w:tr>
    </w:tbl>
    <w:p>
      <w:pPr>
        <w:pStyle w:val="3"/>
        <w:rPr>
          <w:rFonts w:hint="eastAsia"/>
        </w:rPr>
      </w:pPr>
      <w:bookmarkStart w:id="122" w:name="_Toc14187"/>
      <w:bookmarkStart w:id="123" w:name="_Toc27854"/>
      <w:bookmarkStart w:id="124" w:name="_Toc19407"/>
      <w:bookmarkStart w:id="125" w:name="_Toc70524127"/>
      <w:bookmarkStart w:id="126" w:name="_Toc1611"/>
    </w:p>
    <w:p>
      <w:pPr>
        <w:pStyle w:val="3"/>
        <w:pageBreakBefore w:val="0"/>
        <w:widowControl w:val="0"/>
        <w:kinsoku/>
        <w:wordWrap/>
        <w:overflowPunct/>
        <w:topLinePunct w:val="0"/>
        <w:autoSpaceDE/>
        <w:autoSpaceDN/>
        <w:bidi w:val="0"/>
        <w:spacing w:line="560" w:lineRule="exact"/>
        <w:ind w:left="0" w:firstLine="640" w:firstLineChars="200"/>
        <w:jc w:val="both"/>
        <w:textAlignment w:val="auto"/>
      </w:pPr>
      <w:r>
        <w:rPr>
          <w:rFonts w:hint="eastAsia"/>
        </w:rPr>
        <w:t>七、创新治理方式，打造城乡一体的社会治理体系</w:t>
      </w:r>
      <w:bookmarkEnd w:id="122"/>
      <w:bookmarkEnd w:id="123"/>
      <w:bookmarkEnd w:id="124"/>
      <w:bookmarkEnd w:id="125"/>
    </w:p>
    <w:p>
      <w:pPr>
        <w:pageBreakBefore w:val="0"/>
        <w:widowControl w:val="0"/>
        <w:kinsoku/>
        <w:wordWrap/>
        <w:overflowPunct/>
        <w:topLinePunct w:val="0"/>
        <w:autoSpaceDE/>
        <w:autoSpaceDN/>
        <w:bidi w:val="0"/>
        <w:adjustRightInd w:val="0"/>
        <w:snapToGrid w:val="0"/>
        <w:spacing w:line="560" w:lineRule="exact"/>
        <w:ind w:left="0" w:firstLine="640" w:firstLineChars="200"/>
        <w:jc w:val="both"/>
        <w:textAlignment w:val="auto"/>
        <w:rPr>
          <w:rFonts w:ascii="仿宋_GB2312" w:hAnsi="仿宋" w:eastAsia="仿宋_GB2312" w:cs="仿宋"/>
          <w:b/>
          <w:bCs/>
          <w:sz w:val="32"/>
          <w:szCs w:val="32"/>
        </w:rPr>
      </w:pPr>
      <w:bookmarkStart w:id="127" w:name="_Toc4006"/>
      <w:bookmarkStart w:id="128" w:name="_Toc27096"/>
      <w:r>
        <w:rPr>
          <w:rFonts w:hint="eastAsia" w:ascii="仿宋_GB2312" w:hAnsi="仿宋" w:eastAsia="仿宋_GB2312" w:cs="仿宋"/>
          <w:sz w:val="32"/>
          <w:szCs w:val="32"/>
        </w:rPr>
        <w:t>加强和创新基层社会治理，健全党委领导、政府负责、社会协同、公众参与、法治保障的多元共治的城乡社会治理体系，推动治理能力全面提升。</w:t>
      </w:r>
    </w:p>
    <w:p>
      <w:pPr>
        <w:pStyle w:val="4"/>
        <w:pageBreakBefore w:val="0"/>
        <w:widowControl w:val="0"/>
        <w:kinsoku/>
        <w:wordWrap/>
        <w:overflowPunct/>
        <w:topLinePunct w:val="0"/>
        <w:autoSpaceDE/>
        <w:autoSpaceDN/>
        <w:bidi w:val="0"/>
        <w:spacing w:before="0" w:after="0" w:line="560" w:lineRule="exact"/>
        <w:ind w:left="0" w:firstLine="640" w:firstLineChars="200"/>
        <w:jc w:val="both"/>
        <w:textAlignment w:val="auto"/>
        <w:rPr>
          <w:rFonts w:ascii="楷体_GB2312" w:hAnsi="楷体_GB2312" w:eastAsia="楷体_GB2312" w:cs="楷体_GB2312"/>
          <w:b w:val="0"/>
          <w:bCs w:val="0"/>
          <w:sz w:val="32"/>
          <w:szCs w:val="32"/>
        </w:rPr>
      </w:pPr>
      <w:bookmarkStart w:id="129" w:name="_Toc16969"/>
      <w:bookmarkStart w:id="130" w:name="_Toc70524128"/>
      <w:r>
        <w:rPr>
          <w:rFonts w:hint="eastAsia" w:ascii="楷体_GB2312" w:hAnsi="楷体_GB2312" w:eastAsia="楷体_GB2312" w:cs="楷体_GB2312"/>
          <w:b w:val="0"/>
          <w:bCs w:val="0"/>
          <w:sz w:val="32"/>
          <w:szCs w:val="32"/>
          <w:lang w:eastAsia="zh-CN"/>
        </w:rPr>
        <w:t>（一）</w:t>
      </w:r>
      <w:r>
        <w:rPr>
          <w:rFonts w:hint="eastAsia" w:ascii="楷体_GB2312" w:hAnsi="楷体_GB2312" w:eastAsia="楷体_GB2312" w:cs="楷体_GB2312"/>
          <w:b w:val="0"/>
          <w:bCs w:val="0"/>
          <w:sz w:val="32"/>
          <w:szCs w:val="32"/>
        </w:rPr>
        <w:t>加强基层党组织的全面领导</w:t>
      </w:r>
      <w:bookmarkEnd w:id="127"/>
      <w:bookmarkEnd w:id="128"/>
      <w:bookmarkEnd w:id="129"/>
      <w:bookmarkEnd w:id="130"/>
    </w:p>
    <w:p>
      <w:pPr>
        <w:pageBreakBefore w:val="0"/>
        <w:widowControl w:val="0"/>
        <w:kinsoku/>
        <w:wordWrap/>
        <w:overflowPunct/>
        <w:topLinePunct w:val="0"/>
        <w:autoSpaceDE/>
        <w:autoSpaceDN/>
        <w:bidi w:val="0"/>
        <w:adjustRightInd w:val="0"/>
        <w:snapToGrid w:val="0"/>
        <w:spacing w:line="560" w:lineRule="exact"/>
        <w:ind w:left="0" w:firstLine="640" w:firstLineChars="200"/>
        <w:jc w:val="both"/>
        <w:textAlignment w:val="auto"/>
        <w:rPr>
          <w:rFonts w:ascii="仿宋_GB2312" w:hAnsi="仿宋" w:eastAsia="仿宋_GB2312" w:cs="仿宋"/>
          <w:sz w:val="32"/>
          <w:szCs w:val="32"/>
        </w:rPr>
      </w:pPr>
      <w:r>
        <w:rPr>
          <w:rFonts w:hint="eastAsia" w:ascii="仿宋_GB2312" w:hAnsi="仿宋" w:eastAsia="仿宋_GB2312" w:cs="仿宋"/>
          <w:bCs/>
          <w:sz w:val="32"/>
          <w:szCs w:val="32"/>
        </w:rPr>
        <w:t>加强基层党组织建设。</w:t>
      </w:r>
      <w:r>
        <w:rPr>
          <w:rFonts w:hint="eastAsia" w:ascii="仿宋_GB2312" w:hAnsi="仿宋" w:eastAsia="仿宋_GB2312" w:cs="仿宋"/>
          <w:sz w:val="32"/>
          <w:szCs w:val="32"/>
        </w:rPr>
        <w:t>提升基层党组织政治领导力、思想引领力、群众组织力和社会号召力，构建共建共治共享的新格局。构建区、街、社区基层党建工作联动机制，建立健全街道“大工委”和社区“大党委”，强化街道社区党组织领导核心地位，推动条块共驻共建互联互动，提高基层党组织政治功能和服务功能。跟进做好城市化进程中的社区党组织建设，逐步完善“社区党委—网格党支部—楼门党小组”组织架构。发挥村集体经济组织中党组织的领导核心作用，不断完善党组织领导下执行有力、规范有效、运转高效的基层治理机制。</w:t>
      </w:r>
    </w:p>
    <w:p>
      <w:pPr>
        <w:pageBreakBefore w:val="0"/>
        <w:widowControl w:val="0"/>
        <w:kinsoku/>
        <w:wordWrap/>
        <w:overflowPunct/>
        <w:topLinePunct w:val="0"/>
        <w:autoSpaceDE/>
        <w:autoSpaceDN/>
        <w:bidi w:val="0"/>
        <w:adjustRightInd w:val="0"/>
        <w:snapToGrid w:val="0"/>
        <w:spacing w:line="560" w:lineRule="exact"/>
        <w:ind w:left="0" w:firstLine="640" w:firstLineChars="200"/>
        <w:jc w:val="both"/>
        <w:textAlignment w:val="auto"/>
        <w:rPr>
          <w:rFonts w:ascii="仿宋_GB2312" w:hAnsi="仿宋" w:eastAsia="仿宋_GB2312" w:cs="仿宋"/>
          <w:sz w:val="32"/>
          <w:szCs w:val="32"/>
        </w:rPr>
      </w:pPr>
      <w:r>
        <w:rPr>
          <w:rFonts w:hint="eastAsia" w:ascii="仿宋_GB2312" w:hAnsi="仿宋" w:eastAsia="仿宋_GB2312" w:cs="仿宋"/>
          <w:bCs/>
          <w:sz w:val="32"/>
          <w:szCs w:val="32"/>
        </w:rPr>
        <w:t>加强基层干部队伍建设。</w:t>
      </w:r>
      <w:r>
        <w:rPr>
          <w:rFonts w:hint="eastAsia" w:ascii="仿宋_GB2312" w:hAnsi="仿宋" w:eastAsia="仿宋_GB2312" w:cs="仿宋"/>
          <w:sz w:val="32"/>
          <w:szCs w:val="32"/>
        </w:rPr>
        <w:t>严格选人用人标准，严把政治首关，拓宽选人视野和渠道，选优配强基层党组织书记，打造一支政治强、能力强、有威望、有凝聚力的带头人队伍。</w:t>
      </w:r>
    </w:p>
    <w:p>
      <w:pPr>
        <w:pStyle w:val="4"/>
        <w:pageBreakBefore w:val="0"/>
        <w:widowControl w:val="0"/>
        <w:kinsoku/>
        <w:wordWrap/>
        <w:overflowPunct/>
        <w:topLinePunct w:val="0"/>
        <w:autoSpaceDE/>
        <w:autoSpaceDN/>
        <w:bidi w:val="0"/>
        <w:spacing w:before="0" w:after="0" w:line="560" w:lineRule="exact"/>
        <w:ind w:left="0" w:firstLine="640" w:firstLineChars="200"/>
        <w:jc w:val="both"/>
        <w:textAlignment w:val="auto"/>
        <w:rPr>
          <w:rFonts w:ascii="楷体_GB2312" w:hAnsi="楷体_GB2312" w:eastAsia="楷体_GB2312" w:cs="楷体_GB2312"/>
          <w:b w:val="0"/>
          <w:bCs w:val="0"/>
          <w:sz w:val="32"/>
          <w:szCs w:val="32"/>
        </w:rPr>
      </w:pPr>
      <w:bookmarkStart w:id="131" w:name="_Toc5213"/>
      <w:bookmarkStart w:id="132" w:name="_Toc31461"/>
      <w:bookmarkStart w:id="133" w:name="_Toc20071"/>
      <w:bookmarkStart w:id="134" w:name="_Toc70524129"/>
      <w:r>
        <w:rPr>
          <w:rFonts w:hint="eastAsia" w:ascii="楷体_GB2312" w:hAnsi="楷体_GB2312" w:eastAsia="楷体_GB2312" w:cs="楷体_GB2312"/>
          <w:b w:val="0"/>
          <w:bCs w:val="0"/>
          <w:sz w:val="32"/>
          <w:szCs w:val="32"/>
          <w:lang w:eastAsia="zh-CN"/>
        </w:rPr>
        <w:t>（二）</w:t>
      </w:r>
      <w:r>
        <w:rPr>
          <w:rFonts w:hint="eastAsia" w:ascii="楷体_GB2312" w:hAnsi="楷体_GB2312" w:eastAsia="楷体_GB2312" w:cs="楷体_GB2312"/>
          <w:b w:val="0"/>
          <w:bCs w:val="0"/>
          <w:sz w:val="32"/>
          <w:szCs w:val="32"/>
        </w:rPr>
        <w:t>健全社区民主自治体系</w:t>
      </w:r>
      <w:bookmarkEnd w:id="131"/>
      <w:bookmarkEnd w:id="132"/>
      <w:bookmarkEnd w:id="133"/>
      <w:bookmarkEnd w:id="134"/>
    </w:p>
    <w:p>
      <w:pPr>
        <w:pageBreakBefore w:val="0"/>
        <w:widowControl w:val="0"/>
        <w:kinsoku/>
        <w:wordWrap/>
        <w:overflowPunct/>
        <w:topLinePunct w:val="0"/>
        <w:autoSpaceDE/>
        <w:autoSpaceDN/>
        <w:bidi w:val="0"/>
        <w:adjustRightInd w:val="0"/>
        <w:snapToGrid w:val="0"/>
        <w:spacing w:line="560" w:lineRule="exact"/>
        <w:ind w:left="0" w:firstLine="640" w:firstLineChars="200"/>
        <w:jc w:val="both"/>
        <w:textAlignment w:val="auto"/>
        <w:rPr>
          <w:rFonts w:ascii="仿宋_GB2312" w:hAnsi="仿宋" w:eastAsia="仿宋_GB2312" w:cs="仿宋"/>
          <w:sz w:val="32"/>
          <w:szCs w:val="32"/>
        </w:rPr>
      </w:pPr>
      <w:r>
        <w:rPr>
          <w:rFonts w:hint="eastAsia" w:ascii="仿宋_GB2312" w:hAnsi="仿宋" w:eastAsia="仿宋_GB2312" w:cs="仿宋"/>
          <w:sz w:val="32"/>
          <w:szCs w:val="32"/>
        </w:rPr>
        <w:t>健全“五位一体”的组织体系，构建以社区党组织为核心，居民为主体，居民委员会和居务监督委员会为基础，业委会、物业企业、社会组织为纽带，驻区单位和各类经济组织共同参与的社区治理机制。严格落实重大事项决策“五议两公开”制度。健全居务监督委员会，吸纳社区居民参加，推进居务公开和民主管理监督。深化居民民主协商，全面推行居民议事会制度，提高民事民议民评水平。深化社区、社会组织、社区工作“三社联动”工作机制，实现政府行政与社区自治有机衔接。</w:t>
      </w:r>
    </w:p>
    <w:p>
      <w:pPr>
        <w:pStyle w:val="4"/>
        <w:pageBreakBefore w:val="0"/>
        <w:widowControl w:val="0"/>
        <w:kinsoku/>
        <w:wordWrap/>
        <w:overflowPunct/>
        <w:topLinePunct w:val="0"/>
        <w:autoSpaceDE/>
        <w:autoSpaceDN/>
        <w:bidi w:val="0"/>
        <w:spacing w:before="0" w:after="0" w:line="560" w:lineRule="exact"/>
        <w:ind w:left="0" w:firstLine="640" w:firstLineChars="200"/>
        <w:jc w:val="both"/>
        <w:textAlignment w:val="auto"/>
        <w:rPr>
          <w:rFonts w:ascii="楷体_GB2312" w:hAnsi="楷体_GB2312" w:eastAsia="楷体_GB2312" w:cs="楷体_GB2312"/>
          <w:b w:val="0"/>
          <w:bCs w:val="0"/>
          <w:sz w:val="32"/>
          <w:szCs w:val="32"/>
        </w:rPr>
      </w:pPr>
      <w:bookmarkStart w:id="135" w:name="_Toc2963"/>
      <w:bookmarkStart w:id="136" w:name="_Toc5509"/>
      <w:bookmarkStart w:id="137" w:name="_Toc10266"/>
      <w:bookmarkStart w:id="138" w:name="_Toc70524130"/>
      <w:r>
        <w:rPr>
          <w:rFonts w:hint="eastAsia" w:ascii="楷体_GB2312" w:hAnsi="楷体_GB2312" w:eastAsia="楷体_GB2312" w:cs="楷体_GB2312"/>
          <w:b w:val="0"/>
          <w:bCs w:val="0"/>
          <w:sz w:val="32"/>
          <w:szCs w:val="32"/>
          <w:lang w:eastAsia="zh-CN"/>
        </w:rPr>
        <w:t>（三）</w:t>
      </w:r>
      <w:r>
        <w:rPr>
          <w:rFonts w:hint="eastAsia" w:ascii="楷体_GB2312" w:hAnsi="楷体_GB2312" w:eastAsia="楷体_GB2312" w:cs="楷体_GB2312"/>
          <w:b w:val="0"/>
          <w:bCs w:val="0"/>
          <w:sz w:val="32"/>
          <w:szCs w:val="32"/>
        </w:rPr>
        <w:t>打造“网格化+大数据”的精准社会治理模式</w:t>
      </w:r>
      <w:bookmarkEnd w:id="135"/>
      <w:bookmarkEnd w:id="136"/>
      <w:bookmarkEnd w:id="137"/>
      <w:bookmarkEnd w:id="138"/>
    </w:p>
    <w:p>
      <w:pPr>
        <w:pageBreakBefore w:val="0"/>
        <w:widowControl w:val="0"/>
        <w:kinsoku/>
        <w:wordWrap/>
        <w:overflowPunct/>
        <w:topLinePunct w:val="0"/>
        <w:autoSpaceDE/>
        <w:autoSpaceDN/>
        <w:bidi w:val="0"/>
        <w:adjustRightInd w:val="0"/>
        <w:snapToGrid w:val="0"/>
        <w:spacing w:line="560" w:lineRule="exact"/>
        <w:ind w:left="0" w:firstLine="640" w:firstLineChars="200"/>
        <w:jc w:val="both"/>
        <w:textAlignment w:val="auto"/>
        <w:rPr>
          <w:rFonts w:ascii="仿宋" w:hAnsi="仿宋" w:eastAsia="仿宋" w:cs="仿宋"/>
          <w:sz w:val="32"/>
          <w:szCs w:val="32"/>
        </w:rPr>
      </w:pPr>
      <w:r>
        <w:rPr>
          <w:rFonts w:hint="eastAsia" w:ascii="仿宋_GB2312" w:hAnsi="仿宋" w:eastAsia="仿宋_GB2312" w:cs="仿宋"/>
          <w:sz w:val="32"/>
          <w:szCs w:val="32"/>
        </w:rPr>
        <w:t>进一步完善区、街道(园区)、社区、基础网格四级网格管理体系，加快实现“智慧党建引领智慧社会建设信息平台”数据集成和一网统管，推进社区、农区、园区网络管理的有效覆盖，将党建、综合治理、城管、应急、产业发展、村民服务等“多网”有效融合，连通区、街道、社区三级信息系统和视频会议系统，实现全区72个部门、11个街道、103个社区数据、信息共享，达到“云上管理”，实现网格空间信息化，打造“网格化+大数据”的精准社会治理模式。</w:t>
      </w:r>
    </w:p>
    <w:p>
      <w:pPr>
        <w:adjustRightInd w:val="0"/>
        <w:snapToGrid w:val="0"/>
        <w:spacing w:beforeLines="50" w:afterLines="50"/>
        <w:jc w:val="center"/>
        <w:outlineLvl w:val="1"/>
        <w:rPr>
          <w:rFonts w:ascii="楷体" w:hAnsi="楷体" w:eastAsia="楷体" w:cs="楷体"/>
          <w:b/>
          <w:bCs/>
          <w:sz w:val="30"/>
          <w:szCs w:val="30"/>
        </w:rPr>
      </w:pPr>
      <w:bookmarkStart w:id="139" w:name="_Toc31433"/>
      <w:bookmarkStart w:id="140" w:name="_Toc28303"/>
      <w:bookmarkStart w:id="141" w:name="_Toc18426"/>
      <w:bookmarkStart w:id="142" w:name="_Toc70524131"/>
      <w:r>
        <w:rPr>
          <w:rFonts w:hint="eastAsia" w:ascii="楷体" w:hAnsi="楷体" w:eastAsia="楷体" w:cs="楷体"/>
          <w:b/>
          <w:bCs/>
          <w:sz w:val="30"/>
          <w:szCs w:val="30"/>
        </w:rPr>
        <w:t>专栏4</w:t>
      </w:r>
      <w:r>
        <w:rPr>
          <w:rFonts w:ascii="楷体" w:hAnsi="楷体" w:eastAsia="楷体" w:cs="楷体"/>
          <w:b/>
          <w:bCs/>
          <w:sz w:val="30"/>
          <w:szCs w:val="30"/>
        </w:rPr>
        <w:t xml:space="preserve"> 社会治理现代化重点工程</w:t>
      </w:r>
      <w:bookmarkEnd w:id="139"/>
      <w:bookmarkEnd w:id="140"/>
      <w:bookmarkEnd w:id="141"/>
      <w:bookmarkEnd w:id="142"/>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pStyle w:val="28"/>
              <w:keepNext w:val="0"/>
              <w:keepLines w:val="0"/>
              <w:pageBreakBefore w:val="0"/>
              <w:widowControl w:val="0"/>
              <w:kinsoku/>
              <w:wordWrap/>
              <w:overflowPunct/>
              <w:topLinePunct w:val="0"/>
              <w:autoSpaceDE/>
              <w:autoSpaceDN/>
              <w:bidi w:val="0"/>
              <w:adjustRightInd/>
              <w:snapToGrid/>
              <w:spacing w:line="440" w:lineRule="exact"/>
              <w:ind w:left="0" w:firstLine="562" w:firstLineChars="200"/>
              <w:jc w:val="both"/>
              <w:textAlignment w:val="auto"/>
              <w:rPr>
                <w:rFonts w:ascii="仿宋" w:hAnsi="仿宋" w:eastAsia="仿宋" w:cs="仿宋"/>
                <w:szCs w:val="28"/>
              </w:rPr>
            </w:pPr>
            <w:r>
              <w:rPr>
                <w:rFonts w:hint="eastAsia" w:ascii="仿宋" w:hAnsi="仿宋" w:eastAsia="仿宋" w:cs="仿宋"/>
                <w:b/>
                <w:bCs/>
              </w:rPr>
              <w:t>1、基层党支部建设</w:t>
            </w:r>
            <w:r>
              <w:rPr>
                <w:rFonts w:hint="eastAsia" w:ascii="仿宋" w:hAnsi="仿宋" w:eastAsia="仿宋" w:cs="仿宋"/>
              </w:rPr>
              <w:t>。</w:t>
            </w:r>
            <w:r>
              <w:rPr>
                <w:rFonts w:hint="eastAsia" w:ascii="仿宋" w:hAnsi="仿宋" w:eastAsia="仿宋" w:cs="仿宋"/>
                <w:szCs w:val="28"/>
              </w:rPr>
              <w:t>建立健全街道“大工委”和社区“大党委”，强化街道社区党组织领导核心地位，逐步完善“社区党委—网格党支部—楼门党小组”组织架构。加强新型集体经济组织的党建工作,引导其始终坚持为民服务的正确方向。</w:t>
            </w:r>
          </w:p>
          <w:p>
            <w:pPr>
              <w:pStyle w:val="28"/>
              <w:keepNext w:val="0"/>
              <w:keepLines w:val="0"/>
              <w:pageBreakBefore w:val="0"/>
              <w:widowControl w:val="0"/>
              <w:kinsoku/>
              <w:wordWrap/>
              <w:overflowPunct/>
              <w:topLinePunct w:val="0"/>
              <w:autoSpaceDE/>
              <w:autoSpaceDN/>
              <w:bidi w:val="0"/>
              <w:adjustRightInd/>
              <w:snapToGrid/>
              <w:spacing w:line="440" w:lineRule="exact"/>
              <w:ind w:left="0" w:firstLine="562" w:firstLineChars="200"/>
              <w:jc w:val="both"/>
              <w:textAlignment w:val="auto"/>
            </w:pPr>
            <w:r>
              <w:rPr>
                <w:rFonts w:hint="eastAsia" w:ascii="仿宋" w:hAnsi="仿宋" w:eastAsia="仿宋" w:cs="仿宋"/>
                <w:b/>
                <w:bCs/>
              </w:rPr>
              <w:t>2、智慧平安社区建设。</w:t>
            </w:r>
            <w:r>
              <w:rPr>
                <w:rFonts w:hint="eastAsia" w:ascii="仿宋" w:hAnsi="仿宋" w:eastAsia="仿宋" w:cs="仿宋"/>
                <w:szCs w:val="28"/>
              </w:rPr>
              <w:t>加快智慧平安社区建设，围绕社区管理、社区政务、社区服务、社区安全等建设智慧社区应用，推动形成数据智能采集、管理高效有序、防范智慧有力的现代社区治理模式，打造示范社区，切实提升居民获得感、幸福感、安全感。</w:t>
            </w:r>
          </w:p>
        </w:tc>
      </w:tr>
    </w:tbl>
    <w:p>
      <w:pPr>
        <w:pStyle w:val="3"/>
        <w:rPr>
          <w:rFonts w:hint="eastAsia"/>
        </w:rPr>
      </w:pPr>
      <w:bookmarkStart w:id="143" w:name="_Toc9461"/>
      <w:bookmarkStart w:id="144" w:name="_Toc5529"/>
      <w:bookmarkStart w:id="145" w:name="_Toc70524132"/>
    </w:p>
    <w:p>
      <w:pPr>
        <w:pStyle w:val="3"/>
        <w:pageBreakBefore w:val="0"/>
        <w:kinsoku/>
        <w:wordWrap/>
        <w:overflowPunct/>
        <w:topLinePunct w:val="0"/>
        <w:autoSpaceDE/>
        <w:autoSpaceDN/>
        <w:bidi w:val="0"/>
        <w:spacing w:line="560" w:lineRule="exact"/>
        <w:ind w:left="0" w:firstLine="640" w:firstLineChars="200"/>
        <w:jc w:val="both"/>
        <w:textAlignment w:val="auto"/>
      </w:pPr>
      <w:r>
        <w:rPr>
          <w:rFonts w:hint="eastAsia"/>
        </w:rPr>
        <w:t>八、坚持以人为本，务实提高民生水平和百姓福祉</w:t>
      </w:r>
      <w:bookmarkEnd w:id="126"/>
      <w:bookmarkEnd w:id="143"/>
      <w:bookmarkEnd w:id="144"/>
      <w:bookmarkEnd w:id="145"/>
    </w:p>
    <w:p>
      <w:pPr>
        <w:pageBreakBefore w:val="0"/>
        <w:kinsoku/>
        <w:wordWrap/>
        <w:overflowPunct/>
        <w:topLinePunct w:val="0"/>
        <w:autoSpaceDE/>
        <w:autoSpaceDN/>
        <w:bidi w:val="0"/>
        <w:adjustRightInd w:val="0"/>
        <w:snapToGrid w:val="0"/>
        <w:spacing w:line="560" w:lineRule="exact"/>
        <w:ind w:left="0" w:firstLine="640" w:firstLineChars="200"/>
        <w:jc w:val="both"/>
        <w:textAlignment w:val="auto"/>
        <w:rPr>
          <w:rFonts w:ascii="仿宋_GB2312" w:hAnsi="仿宋" w:eastAsia="仿宋_GB2312" w:cs="仿宋"/>
          <w:sz w:val="32"/>
          <w:szCs w:val="32"/>
        </w:rPr>
      </w:pPr>
      <w:r>
        <w:rPr>
          <w:rFonts w:hint="eastAsia" w:ascii="仿宋_GB2312" w:hAnsi="仿宋" w:eastAsia="仿宋_GB2312" w:cs="仿宋"/>
          <w:sz w:val="32"/>
          <w:szCs w:val="32"/>
        </w:rPr>
        <w:t>提升民生保障水平，健全公共服务机制，拓宽居民增收渠道，不断提高新市民的获得感、幸福感，满足人民群众对美好生活的需要。</w:t>
      </w:r>
    </w:p>
    <w:p>
      <w:pPr>
        <w:pStyle w:val="4"/>
        <w:pageBreakBefore w:val="0"/>
        <w:kinsoku/>
        <w:wordWrap/>
        <w:overflowPunct/>
        <w:topLinePunct w:val="0"/>
        <w:autoSpaceDE/>
        <w:autoSpaceDN/>
        <w:bidi w:val="0"/>
        <w:spacing w:before="0" w:after="0" w:line="560" w:lineRule="exact"/>
        <w:ind w:left="0" w:firstLine="640" w:firstLineChars="200"/>
        <w:jc w:val="both"/>
        <w:textAlignment w:val="auto"/>
        <w:rPr>
          <w:rFonts w:ascii="楷体_GB2312" w:hAnsi="楷体_GB2312" w:eastAsia="楷体_GB2312" w:cs="楷体_GB2312"/>
          <w:b w:val="0"/>
          <w:bCs w:val="0"/>
          <w:sz w:val="32"/>
          <w:szCs w:val="32"/>
        </w:rPr>
      </w:pPr>
      <w:bookmarkStart w:id="146" w:name="_Toc13829"/>
      <w:bookmarkStart w:id="147" w:name="_Toc33"/>
      <w:bookmarkStart w:id="148" w:name="_Toc7719"/>
      <w:bookmarkStart w:id="149" w:name="_Toc70524133"/>
      <w:r>
        <w:rPr>
          <w:rFonts w:hint="eastAsia" w:ascii="楷体_GB2312" w:hAnsi="楷体_GB2312" w:eastAsia="楷体_GB2312" w:cs="楷体_GB2312"/>
          <w:b w:val="0"/>
          <w:bCs w:val="0"/>
          <w:sz w:val="32"/>
          <w:szCs w:val="32"/>
          <w:lang w:eastAsia="zh-CN"/>
        </w:rPr>
        <w:t>（一）</w:t>
      </w:r>
      <w:r>
        <w:rPr>
          <w:rFonts w:hint="eastAsia" w:ascii="楷体_GB2312" w:hAnsi="楷体_GB2312" w:eastAsia="楷体_GB2312" w:cs="楷体_GB2312"/>
          <w:b w:val="0"/>
          <w:bCs w:val="0"/>
          <w:sz w:val="32"/>
          <w:szCs w:val="32"/>
        </w:rPr>
        <w:t>推动市政设施的高标准配置</w:t>
      </w:r>
      <w:bookmarkEnd w:id="146"/>
      <w:bookmarkEnd w:id="147"/>
      <w:bookmarkEnd w:id="148"/>
      <w:bookmarkEnd w:id="149"/>
    </w:p>
    <w:p>
      <w:pPr>
        <w:pageBreakBefore w:val="0"/>
        <w:kinsoku/>
        <w:wordWrap/>
        <w:overflowPunct/>
        <w:topLinePunct w:val="0"/>
        <w:autoSpaceDE/>
        <w:autoSpaceDN/>
        <w:bidi w:val="0"/>
        <w:adjustRightInd w:val="0"/>
        <w:snapToGrid w:val="0"/>
        <w:spacing w:line="560" w:lineRule="exact"/>
        <w:ind w:left="0" w:firstLine="640" w:firstLineChars="200"/>
        <w:jc w:val="both"/>
        <w:textAlignment w:val="auto"/>
        <w:rPr>
          <w:rFonts w:ascii="仿宋_GB2312" w:hAnsi="仿宋" w:eastAsia="仿宋_GB2312" w:cs="仿宋"/>
          <w:sz w:val="32"/>
          <w:szCs w:val="32"/>
        </w:rPr>
      </w:pPr>
      <w:r>
        <w:rPr>
          <w:rFonts w:hint="eastAsia" w:ascii="仿宋_GB2312" w:hAnsi="仿宋" w:eastAsia="仿宋_GB2312" w:cs="仿宋"/>
          <w:sz w:val="32"/>
          <w:szCs w:val="32"/>
        </w:rPr>
        <w:t>对接城镇市政设施标准，推进还迁社区改造，完善“水电路气网”等配套设施，提升社区服务设施、安全设施和外部环境功能；全力提升人居环境建设的质量成色，切实做好“清脏、治污、添绿、增美”四篇文章；开展新市镇管理系统化、智能化、市场化、精细化提升工程，提升城镇化的质量，促进内涵式发展。</w:t>
      </w:r>
    </w:p>
    <w:p>
      <w:pPr>
        <w:pStyle w:val="4"/>
        <w:pageBreakBefore w:val="0"/>
        <w:kinsoku/>
        <w:wordWrap/>
        <w:overflowPunct/>
        <w:topLinePunct w:val="0"/>
        <w:autoSpaceDE/>
        <w:autoSpaceDN/>
        <w:bidi w:val="0"/>
        <w:spacing w:before="0" w:after="0" w:line="560" w:lineRule="exact"/>
        <w:ind w:left="0" w:firstLine="640" w:firstLineChars="200"/>
        <w:jc w:val="both"/>
        <w:textAlignment w:val="auto"/>
        <w:rPr>
          <w:rFonts w:ascii="楷体_GB2312" w:hAnsi="楷体_GB2312" w:eastAsia="楷体_GB2312" w:cs="楷体_GB2312"/>
          <w:b w:val="0"/>
          <w:bCs w:val="0"/>
          <w:sz w:val="32"/>
          <w:szCs w:val="32"/>
        </w:rPr>
      </w:pPr>
      <w:bookmarkStart w:id="150" w:name="_Toc21180"/>
      <w:bookmarkStart w:id="151" w:name="_Toc1379"/>
      <w:bookmarkStart w:id="152" w:name="_Toc17881"/>
      <w:bookmarkStart w:id="153" w:name="_Toc70524134"/>
      <w:r>
        <w:rPr>
          <w:rFonts w:hint="eastAsia" w:ascii="楷体_GB2312" w:hAnsi="楷体_GB2312" w:eastAsia="楷体_GB2312" w:cs="楷体_GB2312"/>
          <w:b w:val="0"/>
          <w:bCs w:val="0"/>
          <w:sz w:val="32"/>
          <w:szCs w:val="32"/>
          <w:lang w:eastAsia="zh-CN"/>
        </w:rPr>
        <w:t>（二）</w:t>
      </w:r>
      <w:r>
        <w:rPr>
          <w:rFonts w:hint="eastAsia" w:ascii="楷体_GB2312" w:hAnsi="楷体_GB2312" w:eastAsia="楷体_GB2312" w:cs="楷体_GB2312"/>
          <w:b w:val="0"/>
          <w:bCs w:val="0"/>
          <w:sz w:val="32"/>
          <w:szCs w:val="32"/>
        </w:rPr>
        <w:t>推进公共服务均等化供给</w:t>
      </w:r>
      <w:bookmarkEnd w:id="150"/>
      <w:bookmarkEnd w:id="151"/>
      <w:bookmarkEnd w:id="152"/>
      <w:bookmarkEnd w:id="153"/>
    </w:p>
    <w:p>
      <w:pPr>
        <w:pageBreakBefore w:val="0"/>
        <w:kinsoku/>
        <w:wordWrap/>
        <w:overflowPunct/>
        <w:topLinePunct w:val="0"/>
        <w:autoSpaceDE/>
        <w:autoSpaceDN/>
        <w:bidi w:val="0"/>
        <w:adjustRightInd w:val="0"/>
        <w:snapToGrid w:val="0"/>
        <w:spacing w:line="560" w:lineRule="exact"/>
        <w:ind w:left="0" w:firstLine="640" w:firstLineChars="200"/>
        <w:jc w:val="both"/>
        <w:textAlignment w:val="auto"/>
        <w:rPr>
          <w:rFonts w:ascii="仿宋_GB2312" w:hAnsi="仿宋" w:eastAsia="仿宋_GB2312" w:cs="仿宋"/>
          <w:sz w:val="32"/>
          <w:szCs w:val="32"/>
        </w:rPr>
      </w:pPr>
      <w:r>
        <w:rPr>
          <w:rFonts w:hint="eastAsia" w:ascii="仿宋_GB2312" w:hAnsi="仿宋" w:eastAsia="仿宋_GB2312" w:cs="仿宋"/>
          <w:sz w:val="32"/>
          <w:szCs w:val="32"/>
        </w:rPr>
        <w:t>完善社会多元主体参与机制，鼓励社会组织、民营企业参与教育、养老、医疗卫生等公共服务供给，不断提高新市镇公共服务水平。</w:t>
      </w:r>
    </w:p>
    <w:p>
      <w:pPr>
        <w:pageBreakBefore w:val="0"/>
        <w:kinsoku/>
        <w:wordWrap/>
        <w:overflowPunct/>
        <w:topLinePunct w:val="0"/>
        <w:autoSpaceDE/>
        <w:autoSpaceDN/>
        <w:bidi w:val="0"/>
        <w:adjustRightInd w:val="0"/>
        <w:snapToGrid w:val="0"/>
        <w:spacing w:line="560" w:lineRule="exact"/>
        <w:ind w:left="0" w:firstLine="640" w:firstLineChars="200"/>
        <w:jc w:val="both"/>
        <w:textAlignment w:val="auto"/>
        <w:rPr>
          <w:rFonts w:ascii="仿宋_GB2312" w:hAnsi="仿宋" w:eastAsia="仿宋_GB2312" w:cs="仿宋"/>
          <w:sz w:val="32"/>
          <w:szCs w:val="32"/>
        </w:rPr>
      </w:pPr>
      <w:r>
        <w:rPr>
          <w:rFonts w:hint="eastAsia" w:ascii="仿宋_GB2312" w:hAnsi="仿宋" w:eastAsia="仿宋_GB2312" w:cs="仿宋"/>
          <w:bCs/>
          <w:sz w:val="32"/>
          <w:szCs w:val="32"/>
        </w:rPr>
        <w:t>推进教育均衡化发展。</w:t>
      </w:r>
      <w:r>
        <w:rPr>
          <w:rFonts w:hint="eastAsia" w:ascii="仿宋_GB2312" w:hAnsi="仿宋" w:eastAsia="仿宋_GB2312" w:cs="仿宋"/>
          <w:sz w:val="32"/>
          <w:szCs w:val="32"/>
        </w:rPr>
        <w:t>完善普惠性学前教育资源供给，提升学前教育水平；整合全区教育资源，组织开展共同体活动，发挥优质校的引领作用，实现优质教育教学资源共享，促进全区义务教育优质均衡发展；广泛整合社会教育资源，深度服务社区教育服务主体，精准服务老年教育。发展“互联网+教育”，推进优质数字教育资源建设与共享，促进区域教育快速发展。</w:t>
      </w:r>
    </w:p>
    <w:p>
      <w:pPr>
        <w:pageBreakBefore w:val="0"/>
        <w:kinsoku/>
        <w:wordWrap/>
        <w:overflowPunct/>
        <w:topLinePunct w:val="0"/>
        <w:autoSpaceDE/>
        <w:autoSpaceDN/>
        <w:bidi w:val="0"/>
        <w:adjustRightInd w:val="0"/>
        <w:snapToGrid w:val="0"/>
        <w:spacing w:line="560" w:lineRule="exact"/>
        <w:ind w:left="0" w:firstLine="640" w:firstLineChars="200"/>
        <w:jc w:val="both"/>
        <w:textAlignment w:val="auto"/>
        <w:rPr>
          <w:rFonts w:ascii="仿宋_GB2312" w:hAnsi="Times New Roman" w:eastAsia="仿宋_GB2312" w:cs="Times New Roman"/>
          <w:color w:val="000000"/>
          <w:sz w:val="32"/>
          <w:szCs w:val="32"/>
        </w:rPr>
      </w:pPr>
      <w:r>
        <w:rPr>
          <w:rFonts w:hint="eastAsia" w:ascii="仿宋_GB2312" w:hAnsi="仿宋" w:eastAsia="仿宋_GB2312" w:cs="仿宋"/>
          <w:bCs/>
          <w:sz w:val="32"/>
          <w:szCs w:val="32"/>
        </w:rPr>
        <w:t>提高医疗卫生服务水平。</w:t>
      </w:r>
      <w:r>
        <w:rPr>
          <w:rFonts w:hint="eastAsia" w:ascii="仿宋_GB2312" w:hAnsi="仿宋" w:eastAsia="仿宋_GB2312" w:cs="仿宋"/>
          <w:sz w:val="32"/>
          <w:szCs w:val="32"/>
        </w:rPr>
        <w:t>坚持预防为主，积极开展健康教育和健康促进活动，推动从以治病为中心向以人民健康为中心转变，倡导健康文明的生活方式。借助社区与区属、市属优质医疗资源对接，积极推动家庭医生签约，依托社区卫生服务中心（站），完善医防融合、平战结合的疾病预防控制体系和救治机制，提高突发公共卫生事件的应急处理能力。区级医院与基层医疗机构建立紧密型医联体，逐步实现医联体对基层医疗机构的全覆盖，建立双向转诊绿色通道，不断提高基层医疗机构服务能力和水平。</w:t>
      </w:r>
    </w:p>
    <w:p>
      <w:pPr>
        <w:pageBreakBefore w:val="0"/>
        <w:kinsoku/>
        <w:wordWrap/>
        <w:overflowPunct/>
        <w:topLinePunct w:val="0"/>
        <w:autoSpaceDE/>
        <w:autoSpaceDN/>
        <w:bidi w:val="0"/>
        <w:adjustRightInd w:val="0"/>
        <w:snapToGrid w:val="0"/>
        <w:spacing w:line="560" w:lineRule="exact"/>
        <w:ind w:left="0" w:firstLine="640" w:firstLineChars="200"/>
        <w:jc w:val="both"/>
        <w:textAlignment w:val="auto"/>
        <w:rPr>
          <w:rFonts w:ascii="仿宋_GB2312" w:hAnsi="仿宋" w:eastAsia="仿宋_GB2312" w:cs="仿宋"/>
          <w:sz w:val="32"/>
          <w:szCs w:val="32"/>
        </w:rPr>
      </w:pPr>
      <w:r>
        <w:rPr>
          <w:rFonts w:hint="eastAsia" w:ascii="仿宋_GB2312" w:hAnsi="仿宋" w:eastAsia="仿宋_GB2312" w:cs="仿宋"/>
          <w:bCs/>
          <w:sz w:val="32"/>
          <w:szCs w:val="32"/>
        </w:rPr>
        <w:t>创新养老服务模式，提高养老服务水平。</w:t>
      </w:r>
      <w:r>
        <w:rPr>
          <w:rFonts w:hint="eastAsia" w:ascii="仿宋_GB2312" w:hAnsi="仿宋" w:eastAsia="仿宋_GB2312" w:cs="仿宋"/>
          <w:sz w:val="32"/>
          <w:szCs w:val="32"/>
        </w:rPr>
        <w:t>满足老年人日益增长的健康服务需求，推进医养护一体化管理体系的形成。围绕均等化、标准化、智慧化的发展需求，整合社区卫生服务机构、社区养老机构、敬老院等现有资源，打造智慧健康养老服务平台。大力发展居家养老服务网络，引进第三方企业运用互联网+养老的模式创新居家养老服务，开展智能家居、智能巡视、健康监测等服务。发展互助性养老，创建示范睦邻点。</w:t>
      </w:r>
    </w:p>
    <w:p>
      <w:pPr>
        <w:pageBreakBefore w:val="0"/>
        <w:kinsoku/>
        <w:wordWrap/>
        <w:overflowPunct/>
        <w:topLinePunct w:val="0"/>
        <w:autoSpaceDE/>
        <w:autoSpaceDN/>
        <w:bidi w:val="0"/>
        <w:adjustRightInd w:val="0"/>
        <w:snapToGrid w:val="0"/>
        <w:spacing w:line="560" w:lineRule="exact"/>
        <w:ind w:left="0" w:firstLine="640" w:firstLineChars="200"/>
        <w:jc w:val="both"/>
        <w:textAlignment w:val="auto"/>
        <w:rPr>
          <w:rFonts w:ascii="仿宋_GB2312" w:hAnsi="仿宋" w:eastAsia="仿宋_GB2312" w:cs="仿宋"/>
          <w:sz w:val="32"/>
          <w:szCs w:val="32"/>
        </w:rPr>
      </w:pPr>
      <w:r>
        <w:rPr>
          <w:rFonts w:hint="eastAsia" w:ascii="仿宋_GB2312" w:hAnsi="仿宋" w:eastAsia="仿宋_GB2312" w:cs="仿宋"/>
          <w:bCs/>
          <w:sz w:val="32"/>
          <w:szCs w:val="32"/>
        </w:rPr>
        <w:t>提高社会保障水平</w:t>
      </w:r>
      <w:r>
        <w:rPr>
          <w:rFonts w:hint="eastAsia" w:ascii="仿宋_GB2312" w:hAnsi="仿宋" w:eastAsia="仿宋_GB2312" w:cs="仿宋"/>
          <w:sz w:val="32"/>
          <w:szCs w:val="32"/>
        </w:rPr>
        <w:t>。全面实施全民参保计划，落实城镇职工基本养老、医疗保险和城乡居民基本养老保险制度，扩大社会保障覆盖范围，稳步提高社会保障水平。落实城乡低保制度和特困人员救助供养政策，深化“救急难”工作平台应用，推进社会救助信息共享、数据监测等工作，推动救助管理站设施建设。</w:t>
      </w:r>
    </w:p>
    <w:p>
      <w:pPr>
        <w:pStyle w:val="4"/>
        <w:pageBreakBefore w:val="0"/>
        <w:kinsoku/>
        <w:wordWrap/>
        <w:overflowPunct/>
        <w:topLinePunct w:val="0"/>
        <w:autoSpaceDE/>
        <w:autoSpaceDN/>
        <w:bidi w:val="0"/>
        <w:spacing w:before="0" w:after="0" w:line="560" w:lineRule="exact"/>
        <w:ind w:left="0" w:firstLine="640" w:firstLineChars="200"/>
        <w:jc w:val="both"/>
        <w:textAlignment w:val="auto"/>
        <w:rPr>
          <w:rFonts w:ascii="楷体_GB2312" w:hAnsi="楷体_GB2312" w:eastAsia="楷体_GB2312" w:cs="楷体_GB2312"/>
          <w:b w:val="0"/>
          <w:bCs w:val="0"/>
          <w:sz w:val="32"/>
          <w:szCs w:val="32"/>
        </w:rPr>
      </w:pPr>
      <w:bookmarkStart w:id="154" w:name="_Toc20912"/>
      <w:bookmarkStart w:id="155" w:name="_Toc23559"/>
      <w:bookmarkStart w:id="156" w:name="_Toc14339"/>
      <w:bookmarkStart w:id="157" w:name="_Toc70524135"/>
      <w:r>
        <w:rPr>
          <w:rFonts w:hint="eastAsia" w:ascii="楷体_GB2312" w:hAnsi="楷体_GB2312" w:eastAsia="楷体_GB2312" w:cs="楷体_GB2312"/>
          <w:b w:val="0"/>
          <w:bCs w:val="0"/>
          <w:sz w:val="32"/>
          <w:szCs w:val="32"/>
          <w:lang w:eastAsia="zh-CN"/>
        </w:rPr>
        <w:t>（三）</w:t>
      </w:r>
      <w:r>
        <w:rPr>
          <w:rFonts w:hint="eastAsia" w:ascii="楷体_GB2312" w:hAnsi="楷体_GB2312" w:eastAsia="楷体_GB2312" w:cs="楷体_GB2312"/>
          <w:b w:val="0"/>
          <w:bCs w:val="0"/>
          <w:sz w:val="32"/>
          <w:szCs w:val="32"/>
        </w:rPr>
        <w:t>拓宽新市民就业和增收渠道</w:t>
      </w:r>
      <w:bookmarkEnd w:id="154"/>
      <w:bookmarkEnd w:id="155"/>
      <w:bookmarkEnd w:id="156"/>
      <w:bookmarkEnd w:id="157"/>
    </w:p>
    <w:p>
      <w:pPr>
        <w:pageBreakBefore w:val="0"/>
        <w:kinsoku/>
        <w:wordWrap/>
        <w:overflowPunct/>
        <w:topLinePunct w:val="0"/>
        <w:autoSpaceDE/>
        <w:autoSpaceDN/>
        <w:bidi w:val="0"/>
        <w:adjustRightInd w:val="0"/>
        <w:snapToGrid w:val="0"/>
        <w:spacing w:line="560" w:lineRule="exact"/>
        <w:ind w:left="0" w:firstLine="640" w:firstLineChars="200"/>
        <w:jc w:val="both"/>
        <w:textAlignment w:val="auto"/>
        <w:rPr>
          <w:rFonts w:ascii="仿宋_GB2312" w:hAnsi="仿宋" w:eastAsia="仿宋_GB2312" w:cs="仿宋"/>
          <w:sz w:val="32"/>
          <w:szCs w:val="32"/>
        </w:rPr>
      </w:pPr>
      <w:r>
        <w:rPr>
          <w:rFonts w:hint="eastAsia" w:ascii="仿宋_GB2312" w:hAnsi="仿宋" w:eastAsia="仿宋_GB2312" w:cs="仿宋"/>
          <w:bCs/>
          <w:sz w:val="32"/>
          <w:szCs w:val="32"/>
        </w:rPr>
        <w:t>扩大面向新市民的就业供给，提升新市民工资性收入。</w:t>
      </w:r>
      <w:r>
        <w:rPr>
          <w:rFonts w:hint="eastAsia" w:ascii="仿宋_GB2312" w:hAnsi="仿宋" w:eastAsia="仿宋_GB2312" w:cs="仿宋"/>
          <w:sz w:val="32"/>
          <w:szCs w:val="32"/>
        </w:rPr>
        <w:t>重点开发都市农业、加工制造、社区服务、文旅服务等领域的就业岗位，加强有针对性的就业培训，提升新市民职业技能水平，推进新市民就近就业、融入社区。鼓励新市民自主创业，落实就业创业培训、创业担保贷款、创业补贴、税费减免等优惠扶持政策，强化创业培训和创业扶持力度。完善区、街道、社区三级就业服务平台，构建零距离就业服务机制，增强街道、社区就业服务能力，努力形成“就业服务进家到户，就业岗位进街到社区”的就业服务常态。</w:t>
      </w:r>
    </w:p>
    <w:p>
      <w:pPr>
        <w:pageBreakBefore w:val="0"/>
        <w:widowControl/>
        <w:kinsoku/>
        <w:wordWrap/>
        <w:overflowPunct/>
        <w:topLinePunct w:val="0"/>
        <w:autoSpaceDE/>
        <w:autoSpaceDN/>
        <w:bidi w:val="0"/>
        <w:adjustRightInd w:val="0"/>
        <w:snapToGrid w:val="0"/>
        <w:spacing w:line="560" w:lineRule="exact"/>
        <w:ind w:left="0" w:firstLine="640" w:firstLineChars="200"/>
        <w:jc w:val="both"/>
        <w:textAlignment w:val="auto"/>
        <w:rPr>
          <w:rFonts w:ascii="仿宋_GB2312" w:hAnsi="仿宋" w:eastAsia="仿宋_GB2312" w:cs="仿宋"/>
          <w:sz w:val="32"/>
          <w:szCs w:val="32"/>
        </w:rPr>
      </w:pPr>
      <w:r>
        <w:rPr>
          <w:rFonts w:hint="eastAsia" w:ascii="仿宋_GB2312" w:hAnsi="仿宋" w:eastAsia="仿宋_GB2312" w:cs="仿宋"/>
          <w:bCs/>
          <w:sz w:val="32"/>
          <w:szCs w:val="32"/>
        </w:rPr>
        <w:t>推进集体经济多元化发展，促进新市民财产性收入增长。</w:t>
      </w:r>
      <w:r>
        <w:rPr>
          <w:rFonts w:hint="eastAsia" w:ascii="仿宋_GB2312" w:hAnsi="仿宋" w:eastAsia="仿宋_GB2312" w:cs="仿宋"/>
          <w:sz w:val="32"/>
          <w:szCs w:val="32"/>
        </w:rPr>
        <w:t>改革农村集体经济组织运营模式，积极探索多元化的集体经济发展路径。支持通过村庄整治盘活建设用地，发展休闲、体验、物业、康养等新产业新业态，探索“集体+养老”、“集体+文旅”、“集体+物业”等模式。积极探索实施集体经营性建设用地入市制度。根据休闲观光等产业分散布局的实际需要，探索灵活多样的供地新方式。鼓励村集体经济组织通过优势互补、股份合作，实现联合发展，规模化发展。</w:t>
      </w:r>
    </w:p>
    <w:p>
      <w:pPr>
        <w:adjustRightInd w:val="0"/>
        <w:snapToGrid w:val="0"/>
        <w:spacing w:beforeLines="50" w:afterLines="50"/>
        <w:jc w:val="center"/>
        <w:outlineLvl w:val="1"/>
        <w:rPr>
          <w:rFonts w:ascii="楷体" w:hAnsi="楷体" w:eastAsia="楷体" w:cs="楷体"/>
          <w:b/>
          <w:bCs/>
          <w:sz w:val="30"/>
          <w:szCs w:val="30"/>
        </w:rPr>
      </w:pPr>
      <w:bookmarkStart w:id="158" w:name="_Toc18871"/>
      <w:bookmarkStart w:id="159" w:name="_Toc10885"/>
      <w:bookmarkStart w:id="160" w:name="_Toc24002"/>
      <w:bookmarkStart w:id="161" w:name="_Toc70524136"/>
      <w:r>
        <w:rPr>
          <w:rFonts w:hint="eastAsia" w:ascii="楷体" w:hAnsi="楷体" w:eastAsia="楷体" w:cs="楷体"/>
          <w:b/>
          <w:bCs/>
          <w:sz w:val="30"/>
          <w:szCs w:val="30"/>
        </w:rPr>
        <w:t>专栏5 民生福祉改善重点工程</w:t>
      </w:r>
      <w:bookmarkEnd w:id="158"/>
      <w:bookmarkEnd w:id="159"/>
      <w:bookmarkEnd w:id="160"/>
      <w:bookmarkEnd w:id="161"/>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40" w:lineRule="exact"/>
              <w:ind w:left="0" w:firstLine="562" w:firstLineChars="200"/>
              <w:textAlignment w:val="auto"/>
              <w:rPr>
                <w:rFonts w:ascii="仿宋" w:hAnsi="仿宋" w:eastAsia="仿宋" w:cs="仿宋"/>
                <w:sz w:val="28"/>
                <w:szCs w:val="28"/>
              </w:rPr>
            </w:pPr>
            <w:r>
              <w:rPr>
                <w:rFonts w:hint="eastAsia" w:ascii="仿宋" w:hAnsi="仿宋" w:eastAsia="仿宋" w:cs="仿宋"/>
                <w:b/>
                <w:bCs/>
                <w:sz w:val="28"/>
                <w:szCs w:val="28"/>
              </w:rPr>
              <w:t>1、健康绿道体系建设工程。</w:t>
            </w:r>
            <w:r>
              <w:rPr>
                <w:rFonts w:hint="eastAsia" w:ascii="仿宋" w:hAnsi="仿宋" w:eastAsia="仿宋" w:cs="仿宋"/>
                <w:sz w:val="28"/>
                <w:szCs w:val="28"/>
              </w:rPr>
              <w:t>“十四五”期间，以绿色生态屏障区绿道体系建设为纽带，串联屏障区内重要的蓝绿空间节点，串联自然要素和人工要素，串联各个旅游点，打造体验绿色出行与慢生活的绿色网络通道。</w:t>
            </w:r>
          </w:p>
          <w:p>
            <w:pPr>
              <w:keepNext w:val="0"/>
              <w:keepLines w:val="0"/>
              <w:pageBreakBefore w:val="0"/>
              <w:widowControl w:val="0"/>
              <w:kinsoku/>
              <w:wordWrap/>
              <w:overflowPunct/>
              <w:topLinePunct w:val="0"/>
              <w:autoSpaceDE/>
              <w:autoSpaceDN/>
              <w:bidi w:val="0"/>
              <w:adjustRightInd/>
              <w:snapToGrid/>
              <w:spacing w:line="440" w:lineRule="exact"/>
              <w:ind w:left="0" w:firstLine="562" w:firstLineChars="200"/>
              <w:textAlignment w:val="auto"/>
              <w:rPr>
                <w:sz w:val="28"/>
                <w:szCs w:val="28"/>
              </w:rPr>
            </w:pPr>
            <w:r>
              <w:rPr>
                <w:rFonts w:hint="eastAsia" w:ascii="仿宋" w:hAnsi="仿宋" w:eastAsia="仿宋" w:cs="仿宋"/>
                <w:b/>
                <w:bCs/>
                <w:sz w:val="28"/>
                <w:szCs w:val="28"/>
              </w:rPr>
              <w:t>2、新市民就业培训工程。</w:t>
            </w:r>
            <w:r>
              <w:rPr>
                <w:rFonts w:hint="eastAsia" w:ascii="仿宋" w:hAnsi="仿宋" w:eastAsia="仿宋" w:cs="仿宋"/>
                <w:sz w:val="28"/>
                <w:szCs w:val="28"/>
              </w:rPr>
              <w:t>通过与企业共建等形式，加强新市民非农就业创业培训，提升总体就业率和收入水平。开发一批创业培训实训课程，打造创业培训项目品牌。</w:t>
            </w:r>
          </w:p>
        </w:tc>
      </w:tr>
    </w:tbl>
    <w:p>
      <w:pPr>
        <w:pStyle w:val="3"/>
        <w:rPr>
          <w:rFonts w:hint="eastAsia"/>
        </w:rPr>
      </w:pPr>
      <w:bookmarkStart w:id="162" w:name="_Toc9043"/>
      <w:bookmarkStart w:id="163" w:name="_Toc8572"/>
      <w:bookmarkStart w:id="164" w:name="_Toc5184"/>
      <w:bookmarkStart w:id="165" w:name="_Toc70524137"/>
    </w:p>
    <w:p>
      <w:pPr>
        <w:pStyle w:val="3"/>
        <w:pageBreakBefore w:val="0"/>
        <w:kinsoku/>
        <w:wordWrap/>
        <w:overflowPunct/>
        <w:topLinePunct w:val="0"/>
        <w:autoSpaceDE/>
        <w:autoSpaceDN/>
        <w:bidi w:val="0"/>
        <w:spacing w:line="560" w:lineRule="exact"/>
        <w:ind w:left="0" w:firstLine="640" w:firstLineChars="200"/>
        <w:jc w:val="both"/>
        <w:textAlignment w:val="auto"/>
      </w:pPr>
      <w:r>
        <w:rPr>
          <w:rFonts w:hint="eastAsia"/>
        </w:rPr>
        <w:t>九、强化保障措施，确保规划全面实施</w:t>
      </w:r>
      <w:bookmarkEnd w:id="162"/>
      <w:bookmarkEnd w:id="163"/>
      <w:bookmarkEnd w:id="164"/>
      <w:bookmarkEnd w:id="165"/>
    </w:p>
    <w:p>
      <w:pPr>
        <w:pageBreakBefore w:val="0"/>
        <w:kinsoku/>
        <w:wordWrap/>
        <w:overflowPunct/>
        <w:topLinePunct w:val="0"/>
        <w:autoSpaceDE/>
        <w:autoSpaceDN/>
        <w:bidi w:val="0"/>
        <w:adjustRightInd w:val="0"/>
        <w:snapToGrid w:val="0"/>
        <w:spacing w:line="560" w:lineRule="exact"/>
        <w:ind w:left="0" w:firstLine="640" w:firstLineChars="200"/>
        <w:jc w:val="both"/>
        <w:textAlignment w:val="auto"/>
        <w:rPr>
          <w:rFonts w:ascii="仿宋_GB2312" w:hAnsi="仿宋" w:eastAsia="仿宋_GB2312" w:cs="仿宋"/>
          <w:sz w:val="32"/>
          <w:szCs w:val="32"/>
        </w:rPr>
      </w:pPr>
      <w:r>
        <w:rPr>
          <w:rFonts w:hint="eastAsia" w:ascii="仿宋_GB2312" w:hAnsi="仿宋" w:eastAsia="仿宋_GB2312" w:cs="仿宋"/>
          <w:sz w:val="32"/>
          <w:szCs w:val="32"/>
        </w:rPr>
        <w:t>坚持党的全面领导，建立健全规划实施机制，强化保障措施，创新土地、资本、人才等要素配置方式，凝心聚力助推乡村全面振兴。</w:t>
      </w:r>
    </w:p>
    <w:p>
      <w:pPr>
        <w:pStyle w:val="4"/>
        <w:pageBreakBefore w:val="0"/>
        <w:kinsoku/>
        <w:wordWrap/>
        <w:overflowPunct/>
        <w:topLinePunct w:val="0"/>
        <w:autoSpaceDE/>
        <w:autoSpaceDN/>
        <w:bidi w:val="0"/>
        <w:spacing w:before="0" w:after="0" w:line="560" w:lineRule="exact"/>
        <w:ind w:left="0" w:firstLine="640" w:firstLineChars="200"/>
        <w:jc w:val="both"/>
        <w:textAlignment w:val="auto"/>
        <w:rPr>
          <w:rFonts w:ascii="楷体_GB2312" w:hAnsi="楷体_GB2312" w:eastAsia="楷体_GB2312" w:cs="楷体_GB2312"/>
          <w:b w:val="0"/>
          <w:bCs w:val="0"/>
          <w:sz w:val="32"/>
          <w:szCs w:val="32"/>
        </w:rPr>
      </w:pPr>
      <w:bookmarkStart w:id="166" w:name="_Toc18486"/>
      <w:bookmarkStart w:id="167" w:name="_Toc3088"/>
      <w:bookmarkStart w:id="168" w:name="_Toc25669"/>
      <w:bookmarkStart w:id="169" w:name="_Toc70524138"/>
      <w:r>
        <w:rPr>
          <w:rFonts w:hint="eastAsia" w:ascii="楷体_GB2312" w:hAnsi="楷体_GB2312" w:eastAsia="楷体_GB2312" w:cs="楷体_GB2312"/>
          <w:b w:val="0"/>
          <w:bCs w:val="0"/>
          <w:sz w:val="32"/>
          <w:szCs w:val="32"/>
          <w:lang w:eastAsia="zh-CN"/>
        </w:rPr>
        <w:t>（一）</w:t>
      </w:r>
      <w:r>
        <w:rPr>
          <w:rFonts w:hint="eastAsia" w:ascii="楷体_GB2312" w:hAnsi="楷体_GB2312" w:eastAsia="楷体_GB2312" w:cs="楷体_GB2312"/>
          <w:b w:val="0"/>
          <w:bCs w:val="0"/>
          <w:sz w:val="32"/>
          <w:szCs w:val="32"/>
        </w:rPr>
        <w:t>加强组织领导</w:t>
      </w:r>
      <w:bookmarkEnd w:id="166"/>
      <w:bookmarkEnd w:id="167"/>
      <w:bookmarkEnd w:id="168"/>
      <w:bookmarkEnd w:id="169"/>
    </w:p>
    <w:p>
      <w:pPr>
        <w:pageBreakBefore w:val="0"/>
        <w:kinsoku/>
        <w:wordWrap/>
        <w:overflowPunct/>
        <w:topLinePunct w:val="0"/>
        <w:autoSpaceDE/>
        <w:autoSpaceDN/>
        <w:bidi w:val="0"/>
        <w:adjustRightInd w:val="0"/>
        <w:snapToGrid w:val="0"/>
        <w:spacing w:line="560" w:lineRule="exact"/>
        <w:ind w:left="0" w:firstLine="640" w:firstLineChars="200"/>
        <w:jc w:val="both"/>
        <w:textAlignment w:val="auto"/>
        <w:rPr>
          <w:rFonts w:ascii="仿宋_GB2312" w:hAnsi="仿宋" w:eastAsia="仿宋_GB2312" w:cs="仿宋"/>
          <w:sz w:val="32"/>
          <w:szCs w:val="32"/>
        </w:rPr>
      </w:pPr>
      <w:r>
        <w:rPr>
          <w:rFonts w:hint="eastAsia" w:ascii="仿宋_GB2312" w:hAnsi="仿宋" w:eastAsia="仿宋_GB2312" w:cs="仿宋"/>
          <w:sz w:val="32"/>
          <w:szCs w:val="32"/>
        </w:rPr>
        <w:t>坚持党对农村工作的全面领导，建立健全区党委统一领导、政府负责、部门统筹协调的农业农村工作领导机制。实施领导责任制，党政一把手是第一责任人，区街社区三级书记抓农业农村规划落实和乡村振兴。发挥考核激励作用，保障规划落地执行。各有关部门应将建设用地指标执行情况、资金投入情况等重点工作纳入乡村振兴和农业农村发展考核体系，充分发挥考核的正向激励作用，实施动态监控，切实推动政策落地。</w:t>
      </w:r>
    </w:p>
    <w:p>
      <w:pPr>
        <w:pStyle w:val="4"/>
        <w:pageBreakBefore w:val="0"/>
        <w:kinsoku/>
        <w:wordWrap/>
        <w:overflowPunct/>
        <w:topLinePunct w:val="0"/>
        <w:autoSpaceDE/>
        <w:autoSpaceDN/>
        <w:bidi w:val="0"/>
        <w:spacing w:before="0" w:after="0" w:line="560" w:lineRule="exact"/>
        <w:ind w:left="0" w:firstLine="640" w:firstLineChars="200"/>
        <w:jc w:val="both"/>
        <w:textAlignment w:val="auto"/>
        <w:rPr>
          <w:rFonts w:ascii="楷体_GB2312" w:hAnsi="楷体_GB2312" w:eastAsia="楷体_GB2312" w:cs="楷体_GB2312"/>
          <w:b w:val="0"/>
          <w:bCs w:val="0"/>
          <w:sz w:val="32"/>
          <w:szCs w:val="32"/>
        </w:rPr>
      </w:pPr>
      <w:bookmarkStart w:id="170" w:name="_Toc22616"/>
      <w:bookmarkStart w:id="171" w:name="_Toc10417"/>
      <w:bookmarkStart w:id="172" w:name="_Toc6568"/>
      <w:bookmarkStart w:id="173" w:name="_Toc70524139"/>
      <w:r>
        <w:rPr>
          <w:rFonts w:hint="eastAsia" w:ascii="楷体_GB2312" w:hAnsi="楷体_GB2312" w:eastAsia="楷体_GB2312" w:cs="楷体_GB2312"/>
          <w:b w:val="0"/>
          <w:bCs w:val="0"/>
          <w:sz w:val="32"/>
          <w:szCs w:val="32"/>
          <w:lang w:eastAsia="zh-CN"/>
        </w:rPr>
        <w:t>（二）</w:t>
      </w:r>
      <w:r>
        <w:rPr>
          <w:rFonts w:hint="eastAsia" w:ascii="楷体_GB2312" w:hAnsi="楷体_GB2312" w:eastAsia="楷体_GB2312" w:cs="楷体_GB2312"/>
          <w:b w:val="0"/>
          <w:bCs w:val="0"/>
          <w:sz w:val="32"/>
          <w:szCs w:val="32"/>
        </w:rPr>
        <w:t>坚持规划引领</w:t>
      </w:r>
      <w:bookmarkEnd w:id="170"/>
      <w:bookmarkEnd w:id="171"/>
      <w:bookmarkEnd w:id="172"/>
      <w:bookmarkEnd w:id="173"/>
    </w:p>
    <w:p>
      <w:pPr>
        <w:pageBreakBefore w:val="0"/>
        <w:widowControl/>
        <w:kinsoku/>
        <w:wordWrap/>
        <w:overflowPunct/>
        <w:topLinePunct w:val="0"/>
        <w:autoSpaceDE/>
        <w:autoSpaceDN/>
        <w:bidi w:val="0"/>
        <w:adjustRightInd w:val="0"/>
        <w:snapToGrid w:val="0"/>
        <w:spacing w:line="560" w:lineRule="exact"/>
        <w:ind w:left="0" w:firstLine="640" w:firstLineChars="200"/>
        <w:jc w:val="both"/>
        <w:textAlignment w:val="auto"/>
        <w:rPr>
          <w:rFonts w:ascii="仿宋_GB2312" w:hAnsi="仿宋" w:eastAsia="仿宋_GB2312" w:cs="仿宋"/>
          <w:sz w:val="32"/>
          <w:szCs w:val="32"/>
        </w:rPr>
      </w:pPr>
      <w:r>
        <w:rPr>
          <w:rFonts w:hint="eastAsia" w:ascii="仿宋_GB2312" w:hAnsi="仿宋" w:eastAsia="仿宋_GB2312" w:cs="仿宋"/>
          <w:sz w:val="32"/>
          <w:szCs w:val="32"/>
        </w:rPr>
        <w:t>以科学规划为先导，积极推进“十四五”农业农村现代化规划与市“十四五”农业农村现代化规划、乡村振兴战略规划、经济社会发展总体规划、空间规划、产业发展规划、环境保护规划等有机衔接。坚持“多规合一”，完善“分级落实”的全域一体的城乡融合规划编制管理体制，统筹优化全域空间布局，协同推进农业农村现代化与全面城镇化。建立规划实施工作推进机制，</w:t>
      </w:r>
      <w:r>
        <w:rPr>
          <w:rFonts w:hint="eastAsia" w:ascii="仿宋_GB2312" w:hAnsi="仿宋" w:eastAsia="仿宋_GB2312" w:cs="仿宋"/>
          <w:color w:val="000000"/>
          <w:sz w:val="32"/>
          <w:szCs w:val="32"/>
        </w:rPr>
        <w:t>相关部门要立足职能职责，强化政策配套，</w:t>
      </w:r>
      <w:r>
        <w:rPr>
          <w:rFonts w:hint="eastAsia" w:ascii="仿宋_GB2312" w:hAnsi="仿宋" w:eastAsia="仿宋_GB2312" w:cs="仿宋"/>
          <w:sz w:val="32"/>
          <w:szCs w:val="32"/>
        </w:rPr>
        <w:t>加强政策衔接和工作协调，</w:t>
      </w:r>
      <w:r>
        <w:rPr>
          <w:rFonts w:hint="eastAsia" w:ascii="仿宋_GB2312" w:hAnsi="仿宋" w:eastAsia="仿宋_GB2312" w:cs="仿宋"/>
          <w:color w:val="000000"/>
          <w:sz w:val="32"/>
          <w:szCs w:val="32"/>
        </w:rPr>
        <w:t>协同推进规划实施</w:t>
      </w:r>
      <w:r>
        <w:rPr>
          <w:rFonts w:hint="eastAsia" w:ascii="仿宋_GB2312" w:hAnsi="仿宋" w:eastAsia="仿宋_GB2312" w:cs="仿宋"/>
          <w:sz w:val="32"/>
          <w:szCs w:val="32"/>
        </w:rPr>
        <w:t>。</w:t>
      </w:r>
    </w:p>
    <w:p>
      <w:pPr>
        <w:pStyle w:val="4"/>
        <w:pageBreakBefore w:val="0"/>
        <w:kinsoku/>
        <w:wordWrap/>
        <w:overflowPunct/>
        <w:topLinePunct w:val="0"/>
        <w:autoSpaceDE/>
        <w:autoSpaceDN/>
        <w:bidi w:val="0"/>
        <w:spacing w:before="0" w:after="0" w:line="560" w:lineRule="exact"/>
        <w:ind w:left="0" w:firstLine="640" w:firstLineChars="200"/>
        <w:jc w:val="both"/>
        <w:textAlignment w:val="auto"/>
        <w:rPr>
          <w:rFonts w:ascii="楷体_GB2312" w:hAnsi="楷体_GB2312" w:eastAsia="楷体_GB2312" w:cs="楷体_GB2312"/>
          <w:b w:val="0"/>
          <w:bCs w:val="0"/>
          <w:sz w:val="32"/>
          <w:szCs w:val="32"/>
        </w:rPr>
      </w:pPr>
      <w:bookmarkStart w:id="174" w:name="_Toc14517"/>
      <w:bookmarkStart w:id="175" w:name="_Toc25969"/>
      <w:bookmarkStart w:id="176" w:name="_Toc18777"/>
      <w:bookmarkStart w:id="177" w:name="_Toc70524140"/>
      <w:r>
        <w:rPr>
          <w:rFonts w:hint="eastAsia" w:ascii="楷体_GB2312" w:hAnsi="楷体_GB2312" w:eastAsia="楷体_GB2312" w:cs="楷体_GB2312"/>
          <w:b w:val="0"/>
          <w:bCs w:val="0"/>
          <w:sz w:val="32"/>
          <w:szCs w:val="32"/>
          <w:lang w:eastAsia="zh-CN"/>
        </w:rPr>
        <w:t>（三）</w:t>
      </w:r>
      <w:r>
        <w:rPr>
          <w:rFonts w:hint="eastAsia" w:ascii="楷体_GB2312" w:hAnsi="楷体_GB2312" w:eastAsia="楷体_GB2312" w:cs="楷体_GB2312"/>
          <w:b w:val="0"/>
          <w:bCs w:val="0"/>
          <w:sz w:val="32"/>
          <w:szCs w:val="32"/>
        </w:rPr>
        <w:t>强化用地保障</w:t>
      </w:r>
      <w:bookmarkEnd w:id="174"/>
      <w:bookmarkEnd w:id="175"/>
      <w:bookmarkEnd w:id="176"/>
      <w:bookmarkEnd w:id="177"/>
    </w:p>
    <w:p>
      <w:pPr>
        <w:pageBreakBefore w:val="0"/>
        <w:widowControl/>
        <w:kinsoku/>
        <w:wordWrap/>
        <w:overflowPunct/>
        <w:topLinePunct w:val="0"/>
        <w:autoSpaceDE/>
        <w:autoSpaceDN/>
        <w:bidi w:val="0"/>
        <w:adjustRightInd w:val="0"/>
        <w:snapToGrid w:val="0"/>
        <w:spacing w:line="560" w:lineRule="exact"/>
        <w:ind w:left="0" w:firstLine="640" w:firstLineChars="200"/>
        <w:jc w:val="both"/>
        <w:textAlignment w:val="auto"/>
        <w:rPr>
          <w:rFonts w:ascii="仿宋_GB2312" w:hAnsi="仿宋" w:eastAsia="仿宋_GB2312" w:cs="仿宋"/>
          <w:sz w:val="32"/>
          <w:szCs w:val="32"/>
        </w:rPr>
      </w:pPr>
      <w:r>
        <w:rPr>
          <w:rFonts w:hint="eastAsia" w:ascii="仿宋_GB2312" w:hAnsi="仿宋" w:eastAsia="仿宋_GB2312" w:cs="仿宋"/>
          <w:sz w:val="32"/>
          <w:szCs w:val="32"/>
        </w:rPr>
        <w:t>完善土地利用管理政策体系，全面推进农地资源统筹使用。坚持全区产业“一盘棋”思想，对全区农地资源、旅游资源进行统一规划、统一建设经营管理，促进区域资源有机整合与产业融合发展，盘活存量，用好流量，辅以增量，激活土地资源资产，保障农业农村现代化和乡村振兴的用地需求。加快推动农村集体产权制度改革进程，不断完善农村土地流转市场。鼓励支持区属国有企业和社会资本与农村集体经济组织通过出租、作价入股等合作方式，参与盘活闲置房地资源。优化土地资源配置，加强建设用地供给保障。新产业新业态及三产融合项目要用足用好点状供地政策，安排一定比例建设用地指标，用于支持建设服务配套设施。在不改变土地用途的前提下，用足用好农业附属设施用地指标，规范备案程序，实行动态监管。</w:t>
      </w:r>
    </w:p>
    <w:p>
      <w:pPr>
        <w:pStyle w:val="4"/>
        <w:pageBreakBefore w:val="0"/>
        <w:kinsoku/>
        <w:wordWrap/>
        <w:overflowPunct/>
        <w:topLinePunct w:val="0"/>
        <w:autoSpaceDE/>
        <w:autoSpaceDN/>
        <w:bidi w:val="0"/>
        <w:spacing w:before="0" w:after="0" w:line="560" w:lineRule="exact"/>
        <w:ind w:left="0" w:firstLine="640" w:firstLineChars="200"/>
        <w:jc w:val="both"/>
        <w:textAlignment w:val="auto"/>
        <w:rPr>
          <w:rFonts w:ascii="楷体_GB2312" w:hAnsi="楷体_GB2312" w:eastAsia="楷体_GB2312" w:cs="楷体_GB2312"/>
          <w:b w:val="0"/>
          <w:bCs w:val="0"/>
          <w:sz w:val="32"/>
          <w:szCs w:val="32"/>
        </w:rPr>
      </w:pPr>
      <w:bookmarkStart w:id="178" w:name="_Toc18986"/>
      <w:bookmarkStart w:id="179" w:name="_Toc22433"/>
      <w:bookmarkStart w:id="180" w:name="_Toc26198"/>
      <w:bookmarkStart w:id="181" w:name="_Toc70524141"/>
      <w:r>
        <w:rPr>
          <w:rFonts w:hint="eastAsia" w:ascii="楷体_GB2312" w:hAnsi="楷体_GB2312" w:eastAsia="楷体_GB2312" w:cs="楷体_GB2312"/>
          <w:b w:val="0"/>
          <w:bCs w:val="0"/>
          <w:sz w:val="32"/>
          <w:szCs w:val="32"/>
          <w:lang w:eastAsia="zh-CN"/>
        </w:rPr>
        <w:t>（四）</w:t>
      </w:r>
      <w:r>
        <w:rPr>
          <w:rFonts w:hint="eastAsia" w:ascii="楷体_GB2312" w:hAnsi="楷体_GB2312" w:eastAsia="楷体_GB2312" w:cs="楷体_GB2312"/>
          <w:b w:val="0"/>
          <w:bCs w:val="0"/>
          <w:sz w:val="32"/>
          <w:szCs w:val="32"/>
        </w:rPr>
        <w:t>完善资金保障</w:t>
      </w:r>
      <w:bookmarkEnd w:id="178"/>
      <w:bookmarkEnd w:id="179"/>
      <w:bookmarkEnd w:id="180"/>
      <w:bookmarkEnd w:id="181"/>
    </w:p>
    <w:p>
      <w:pPr>
        <w:pageBreakBefore w:val="0"/>
        <w:kinsoku/>
        <w:wordWrap/>
        <w:overflowPunct/>
        <w:topLinePunct w:val="0"/>
        <w:autoSpaceDE/>
        <w:autoSpaceDN/>
        <w:bidi w:val="0"/>
        <w:adjustRightInd w:val="0"/>
        <w:snapToGrid w:val="0"/>
        <w:spacing w:line="560" w:lineRule="exact"/>
        <w:ind w:left="0" w:firstLine="640" w:firstLineChars="200"/>
        <w:jc w:val="both"/>
        <w:textAlignment w:val="auto"/>
        <w:outlineLvl w:val="2"/>
        <w:rPr>
          <w:rFonts w:hint="eastAsia" w:ascii="楷体_GB2312" w:hAnsi="楷体_GB2312" w:eastAsia="楷体_GB2312" w:cs="楷体_GB2312"/>
          <w:bCs/>
          <w:sz w:val="32"/>
          <w:szCs w:val="32"/>
          <w:lang w:eastAsia="zh-CN"/>
        </w:rPr>
      </w:pPr>
      <w:r>
        <w:rPr>
          <w:rFonts w:hint="eastAsia" w:ascii="仿宋_GB2312" w:hAnsi="仿宋" w:eastAsia="仿宋_GB2312" w:cs="仿宋"/>
          <w:sz w:val="32"/>
          <w:szCs w:val="32"/>
        </w:rPr>
        <w:t>落实国家《关于调整完善土地出让收入使用范围优先支持乡村振兴的意见》，健全涉农财政支出优先保障和稳定增长机制，加大涉农资金整合。建立健全多元投入格局，充分发挥政府投资的引导和撬动作用，采取以奖代补、先建后补、贷款贴息、保费补贴等方式，不断吸引社会资本参与乡村振兴。优化营商环境，降低社会资本投资运营成本和风险。创新农村金融产品和服务方式，为乡村振兴提供差别化的信贷支持政策。发挥中丽（天津）产城融合发展基金的产业支撑作用，通过引导母基金、子基金组建，构建积极活跃的基金群，支持东丽区战略性新兴产业和新型城镇化建设。培育涉农上市公司，支持风险投资、私募股权投资等参与乡村振兴。加大涉农保险产品创新，优先将特色农业产业纳入保险范围，完善全产业链保险品种，扩大农业保险覆盖面，</w:t>
      </w:r>
      <w:r>
        <w:rPr>
          <w:rFonts w:hint="eastAsia" w:ascii="仿宋_GB2312" w:hAnsi="仿宋_GB2312" w:eastAsia="仿宋_GB2312" w:cs="仿宋_GB2312"/>
          <w:bCs/>
          <w:sz w:val="32"/>
          <w:szCs w:val="32"/>
          <w:lang w:eastAsia="zh-CN"/>
        </w:rPr>
        <w:t>提升社会资本投资农业农村的风险保障水平。</w:t>
      </w:r>
    </w:p>
    <w:p>
      <w:pPr>
        <w:pageBreakBefore w:val="0"/>
        <w:kinsoku/>
        <w:wordWrap/>
        <w:overflowPunct/>
        <w:topLinePunct w:val="0"/>
        <w:autoSpaceDE/>
        <w:autoSpaceDN/>
        <w:bidi w:val="0"/>
        <w:adjustRightInd w:val="0"/>
        <w:snapToGrid w:val="0"/>
        <w:spacing w:line="560" w:lineRule="exact"/>
        <w:ind w:left="0" w:firstLine="640" w:firstLineChars="200"/>
        <w:jc w:val="both"/>
        <w:textAlignment w:val="auto"/>
        <w:outlineLvl w:val="2"/>
        <w:rPr>
          <w:rFonts w:hint="eastAsia" w:ascii="楷体_GB2312" w:hAnsi="楷体_GB2312" w:eastAsia="楷体_GB2312" w:cs="楷体_GB2312"/>
          <w:bCs/>
          <w:sz w:val="32"/>
          <w:szCs w:val="32"/>
          <w:lang w:eastAsia="zh-CN"/>
        </w:rPr>
      </w:pPr>
      <w:bookmarkStart w:id="182" w:name="_Toc2314"/>
      <w:bookmarkStart w:id="183" w:name="_Toc19432"/>
      <w:bookmarkStart w:id="184" w:name="_Toc22971"/>
      <w:bookmarkStart w:id="185" w:name="_Toc70524142"/>
      <w:r>
        <w:rPr>
          <w:rFonts w:hint="eastAsia" w:ascii="楷体_GB2312" w:hAnsi="楷体_GB2312" w:eastAsia="楷体_GB2312" w:cs="楷体_GB2312"/>
          <w:bCs/>
          <w:sz w:val="32"/>
          <w:szCs w:val="32"/>
          <w:lang w:eastAsia="zh-CN"/>
        </w:rPr>
        <w:t>（五）突出人才保障</w:t>
      </w:r>
      <w:bookmarkEnd w:id="182"/>
      <w:bookmarkEnd w:id="183"/>
      <w:bookmarkEnd w:id="184"/>
      <w:bookmarkEnd w:id="185"/>
    </w:p>
    <w:p>
      <w:pPr>
        <w:pageBreakBefore w:val="0"/>
        <w:widowControl/>
        <w:kinsoku/>
        <w:wordWrap/>
        <w:overflowPunct/>
        <w:topLinePunct w:val="0"/>
        <w:autoSpaceDE/>
        <w:autoSpaceDN/>
        <w:bidi w:val="0"/>
        <w:adjustRightInd w:val="0"/>
        <w:snapToGrid w:val="0"/>
        <w:spacing w:line="560" w:lineRule="exact"/>
        <w:ind w:left="0" w:firstLine="640" w:firstLineChars="200"/>
        <w:jc w:val="both"/>
        <w:textAlignment w:val="auto"/>
        <w:rPr>
          <w:rFonts w:ascii="仿宋_GB2312" w:hAnsi="仿宋" w:eastAsia="仿宋_GB2312" w:cs="仿宋"/>
          <w:sz w:val="32"/>
          <w:szCs w:val="32"/>
        </w:rPr>
      </w:pPr>
      <w:r>
        <w:rPr>
          <w:rFonts w:hint="eastAsia" w:ascii="仿宋_GB2312" w:hAnsi="仿宋" w:eastAsia="仿宋_GB2312" w:cs="仿宋"/>
          <w:sz w:val="32"/>
          <w:szCs w:val="32"/>
        </w:rPr>
        <w:t>充分发挥政府主导作用，大力实施人才强农战略，开创人才队伍建设新局面。着力建设一支政治强、本领硬、作风实的基层干部工作队伍，加强干部挂职锻炼和交流任职，提高基层干部的政治素质和工作能力。发挥科技人才支撑作用，突出抓好以领军人才和创新团队为重点的农业科研人才队伍建设，坚持自主培养与人才引进相结合,大力培育本土优秀人才，同时建立激励机制吸引各方面外来人才的落地。建立事业单位专业技术人员到基层和农业企业挂职制度，鼓励城乡间科技人才之间的交流协作。加强休闲农业与乡村旅游、农产品深加工、市场营销、农业科技信息管理、农业物流等农业新兴业态的专业人才培育。加强新型职业农民的认定与管理，将教育培训、规范管理和政策扶持融为一体，完善新型职业农民的培训体系。对自主创业的新型职业农民在贷款、税收、土地流转等方面给予优惠扶持政策。</w:t>
      </w:r>
    </w:p>
    <w:p>
      <w:pPr>
        <w:widowControl/>
        <w:adjustRightInd w:val="0"/>
        <w:snapToGrid w:val="0"/>
        <w:spacing w:line="560" w:lineRule="exact"/>
        <w:ind w:left="-83" w:firstLine="563" w:firstLineChars="176"/>
        <w:jc w:val="left"/>
        <w:rPr>
          <w:rFonts w:hint="eastAsia" w:ascii="仿宋_GB2312" w:hAnsi="仿宋" w:eastAsia="仿宋_GB2312" w:cs="仿宋"/>
          <w:sz w:val="32"/>
          <w:szCs w:val="32"/>
          <w:lang w:val="en-US" w:eastAsia="zh-CN"/>
        </w:rPr>
      </w:pPr>
    </w:p>
    <w:sectPr>
      <w:headerReference r:id="rId3" w:type="default"/>
      <w:footerReference r:id="rId5" w:type="default"/>
      <w:headerReference r:id="rId4" w:type="even"/>
      <w:footerReference r:id="rId6" w:type="even"/>
      <w:pgSz w:w="11906" w:h="16838"/>
      <w:pgMar w:top="2098" w:right="1474" w:bottom="1985"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文星仿宋">
    <w:altName w:val="宋体"/>
    <w:panose1 w:val="00000000000000000000"/>
    <w:charset w:val="86"/>
    <w:family w:val="auto"/>
    <w:pitch w:val="default"/>
    <w:sig w:usb0="00000000" w:usb1="00000000" w:usb2="00000010" w:usb3="00000000" w:csb0="00040001" w:csb1="00000000"/>
  </w:font>
  <w:font w:name="Arial Unicode MS">
    <w:altName w:val="Arial"/>
    <w:panose1 w:val="020B0604020202020204"/>
    <w:charset w:val="00"/>
    <w:family w:val="roman"/>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10" w:usb3="00000000" w:csb0="0004009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right" w:y="2"/>
      <w:rPr>
        <w:rStyle w:val="17"/>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Style w:val="17"/>
        <w:rFonts w:asciiTheme="minorEastAsia" w:hAnsiTheme="minorEastAsia" w:eastAsiaTheme="minorEastAsia"/>
        <w:sz w:val="28"/>
        <w:szCs w:val="28"/>
      </w:rPr>
      <w:instrText xml:space="preserve">PAGE  </w:instrText>
    </w:r>
    <w:r>
      <w:rPr>
        <w:rFonts w:asciiTheme="minorEastAsia" w:hAnsiTheme="minorEastAsia" w:eastAsiaTheme="minorEastAsia"/>
        <w:sz w:val="28"/>
        <w:szCs w:val="28"/>
      </w:rPr>
      <w:fldChar w:fldCharType="separate"/>
    </w:r>
    <w:r>
      <w:rPr>
        <w:rStyle w:val="17"/>
        <w:rFonts w:asciiTheme="minorEastAsia" w:hAnsiTheme="minorEastAsia" w:eastAsiaTheme="minorEastAsia"/>
        <w:sz w:val="28"/>
        <w:szCs w:val="28"/>
      </w:rPr>
      <w:t>- 3 -</w:t>
    </w:r>
    <w:r>
      <w:rPr>
        <w:rFonts w:asciiTheme="minorEastAsia" w:hAnsiTheme="minorEastAsia" w:eastAsiaTheme="minorEastAsia"/>
        <w:sz w:val="28"/>
        <w:szCs w:val="28"/>
      </w:rPr>
      <w:fldChar w:fldCharType="end"/>
    </w:r>
  </w:p>
  <w:p>
    <w:pPr>
      <w:pStyle w:val="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Style w:val="17"/>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Style w:val="17"/>
        <w:rFonts w:asciiTheme="minorEastAsia" w:hAnsiTheme="minorEastAsia" w:eastAsiaTheme="minorEastAsia"/>
        <w:sz w:val="28"/>
        <w:szCs w:val="28"/>
      </w:rPr>
      <w:instrText xml:space="preserve">PAGE  </w:instrText>
    </w:r>
    <w:r>
      <w:rPr>
        <w:rFonts w:asciiTheme="minorEastAsia" w:hAnsiTheme="minorEastAsia" w:eastAsiaTheme="minorEastAsia"/>
        <w:sz w:val="28"/>
        <w:szCs w:val="28"/>
      </w:rPr>
      <w:fldChar w:fldCharType="separate"/>
    </w:r>
    <w:r>
      <w:rPr>
        <w:rStyle w:val="17"/>
        <w:rFonts w:asciiTheme="minorEastAsia" w:hAnsiTheme="minorEastAsia" w:eastAsiaTheme="minorEastAsia"/>
        <w:sz w:val="28"/>
        <w:szCs w:val="28"/>
      </w:rPr>
      <w:t>- 2 -</w:t>
    </w:r>
    <w:r>
      <w:rPr>
        <w:rFonts w:asciiTheme="minorEastAsia" w:hAnsiTheme="minorEastAsia" w:eastAsiaTheme="minorEastAsia"/>
        <w:sz w:val="28"/>
        <w:szCs w:val="28"/>
      </w:rPr>
      <w:fldChar w:fldCharType="end"/>
    </w:r>
  </w:p>
  <w:p>
    <w:pPr>
      <w:pStyle w:val="8"/>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53587B"/>
    <w:rsid w:val="00033CEF"/>
    <w:rsid w:val="00055B4E"/>
    <w:rsid w:val="00070808"/>
    <w:rsid w:val="00071BB7"/>
    <w:rsid w:val="0008726A"/>
    <w:rsid w:val="0009156B"/>
    <w:rsid w:val="00096690"/>
    <w:rsid w:val="000A55E4"/>
    <w:rsid w:val="000B2FCF"/>
    <w:rsid w:val="000B363A"/>
    <w:rsid w:val="000C5E99"/>
    <w:rsid w:val="000D7139"/>
    <w:rsid w:val="000E5653"/>
    <w:rsid w:val="000F343B"/>
    <w:rsid w:val="00100320"/>
    <w:rsid w:val="0010445C"/>
    <w:rsid w:val="0013608A"/>
    <w:rsid w:val="0018335F"/>
    <w:rsid w:val="0018550A"/>
    <w:rsid w:val="001B5E48"/>
    <w:rsid w:val="001C548B"/>
    <w:rsid w:val="001E5DBB"/>
    <w:rsid w:val="00241CF3"/>
    <w:rsid w:val="002446ED"/>
    <w:rsid w:val="002462CF"/>
    <w:rsid w:val="00255F03"/>
    <w:rsid w:val="00262A4D"/>
    <w:rsid w:val="00276E53"/>
    <w:rsid w:val="002B43AC"/>
    <w:rsid w:val="002D3BEF"/>
    <w:rsid w:val="002E013F"/>
    <w:rsid w:val="002E3BC7"/>
    <w:rsid w:val="00304702"/>
    <w:rsid w:val="00314F56"/>
    <w:rsid w:val="0033080B"/>
    <w:rsid w:val="003402BC"/>
    <w:rsid w:val="00343F97"/>
    <w:rsid w:val="00344E93"/>
    <w:rsid w:val="00365D8D"/>
    <w:rsid w:val="00390D5F"/>
    <w:rsid w:val="003A51DC"/>
    <w:rsid w:val="003E6D55"/>
    <w:rsid w:val="00405AFE"/>
    <w:rsid w:val="00406430"/>
    <w:rsid w:val="00407684"/>
    <w:rsid w:val="00410DBE"/>
    <w:rsid w:val="00416D26"/>
    <w:rsid w:val="004259EF"/>
    <w:rsid w:val="004270EA"/>
    <w:rsid w:val="0043700E"/>
    <w:rsid w:val="004443A6"/>
    <w:rsid w:val="0045147E"/>
    <w:rsid w:val="00460992"/>
    <w:rsid w:val="004612E0"/>
    <w:rsid w:val="00472D2F"/>
    <w:rsid w:val="00473B64"/>
    <w:rsid w:val="004A27EA"/>
    <w:rsid w:val="004A355E"/>
    <w:rsid w:val="004B4D29"/>
    <w:rsid w:val="004C7132"/>
    <w:rsid w:val="004D49C0"/>
    <w:rsid w:val="004F725B"/>
    <w:rsid w:val="0051427A"/>
    <w:rsid w:val="00514986"/>
    <w:rsid w:val="00532348"/>
    <w:rsid w:val="005374FA"/>
    <w:rsid w:val="0055031E"/>
    <w:rsid w:val="00552B2C"/>
    <w:rsid w:val="00577F0E"/>
    <w:rsid w:val="00584799"/>
    <w:rsid w:val="00587CDD"/>
    <w:rsid w:val="00595471"/>
    <w:rsid w:val="005B5D1D"/>
    <w:rsid w:val="005B5FCB"/>
    <w:rsid w:val="005D17C3"/>
    <w:rsid w:val="005E2878"/>
    <w:rsid w:val="005F5E0B"/>
    <w:rsid w:val="0061075A"/>
    <w:rsid w:val="006108DB"/>
    <w:rsid w:val="006348C6"/>
    <w:rsid w:val="00657C61"/>
    <w:rsid w:val="00661EBF"/>
    <w:rsid w:val="0066722C"/>
    <w:rsid w:val="00673F04"/>
    <w:rsid w:val="0067624B"/>
    <w:rsid w:val="006862FD"/>
    <w:rsid w:val="00687B01"/>
    <w:rsid w:val="006A2D54"/>
    <w:rsid w:val="006A484D"/>
    <w:rsid w:val="006A4E9D"/>
    <w:rsid w:val="00707D2D"/>
    <w:rsid w:val="007103EF"/>
    <w:rsid w:val="00722B6C"/>
    <w:rsid w:val="007508B1"/>
    <w:rsid w:val="00752E65"/>
    <w:rsid w:val="00760699"/>
    <w:rsid w:val="007D71BA"/>
    <w:rsid w:val="007D78B4"/>
    <w:rsid w:val="007E36A9"/>
    <w:rsid w:val="0080331A"/>
    <w:rsid w:val="00830538"/>
    <w:rsid w:val="00852890"/>
    <w:rsid w:val="008600E8"/>
    <w:rsid w:val="008704CB"/>
    <w:rsid w:val="00873D2B"/>
    <w:rsid w:val="00875A1E"/>
    <w:rsid w:val="00881A5B"/>
    <w:rsid w:val="008937EC"/>
    <w:rsid w:val="008A1201"/>
    <w:rsid w:val="008A1C48"/>
    <w:rsid w:val="008A5BE4"/>
    <w:rsid w:val="008C1ACA"/>
    <w:rsid w:val="008C6483"/>
    <w:rsid w:val="008D11A0"/>
    <w:rsid w:val="008D6E67"/>
    <w:rsid w:val="008E5CB5"/>
    <w:rsid w:val="008E68BA"/>
    <w:rsid w:val="008E7B95"/>
    <w:rsid w:val="009059A1"/>
    <w:rsid w:val="00924C07"/>
    <w:rsid w:val="009408C9"/>
    <w:rsid w:val="009562C2"/>
    <w:rsid w:val="0096071D"/>
    <w:rsid w:val="0098411C"/>
    <w:rsid w:val="00984C3E"/>
    <w:rsid w:val="00986698"/>
    <w:rsid w:val="00987029"/>
    <w:rsid w:val="0099765F"/>
    <w:rsid w:val="009A15A8"/>
    <w:rsid w:val="009A1888"/>
    <w:rsid w:val="009B6729"/>
    <w:rsid w:val="009D1581"/>
    <w:rsid w:val="009E16AB"/>
    <w:rsid w:val="009E3DF3"/>
    <w:rsid w:val="00A07079"/>
    <w:rsid w:val="00A15E46"/>
    <w:rsid w:val="00A43601"/>
    <w:rsid w:val="00A44E5D"/>
    <w:rsid w:val="00A454E3"/>
    <w:rsid w:val="00A75D58"/>
    <w:rsid w:val="00A932D2"/>
    <w:rsid w:val="00AA3ED4"/>
    <w:rsid w:val="00AB3B42"/>
    <w:rsid w:val="00AD25E1"/>
    <w:rsid w:val="00AD7944"/>
    <w:rsid w:val="00AF74F8"/>
    <w:rsid w:val="00B04D8A"/>
    <w:rsid w:val="00B141A5"/>
    <w:rsid w:val="00B23ACB"/>
    <w:rsid w:val="00B363CE"/>
    <w:rsid w:val="00B57643"/>
    <w:rsid w:val="00B60C88"/>
    <w:rsid w:val="00B72DE9"/>
    <w:rsid w:val="00B84C50"/>
    <w:rsid w:val="00BA7934"/>
    <w:rsid w:val="00BB59BB"/>
    <w:rsid w:val="00BB5B6F"/>
    <w:rsid w:val="00BD302E"/>
    <w:rsid w:val="00BE2A82"/>
    <w:rsid w:val="00BE6391"/>
    <w:rsid w:val="00BE7938"/>
    <w:rsid w:val="00BF1A6B"/>
    <w:rsid w:val="00BF4425"/>
    <w:rsid w:val="00C201C3"/>
    <w:rsid w:val="00C2088D"/>
    <w:rsid w:val="00C23DF7"/>
    <w:rsid w:val="00C317DC"/>
    <w:rsid w:val="00C3401B"/>
    <w:rsid w:val="00C34B19"/>
    <w:rsid w:val="00C452FD"/>
    <w:rsid w:val="00C465AB"/>
    <w:rsid w:val="00C52518"/>
    <w:rsid w:val="00C835BF"/>
    <w:rsid w:val="00CD0EB3"/>
    <w:rsid w:val="00CE2E29"/>
    <w:rsid w:val="00D111A3"/>
    <w:rsid w:val="00D36F68"/>
    <w:rsid w:val="00D47856"/>
    <w:rsid w:val="00D51AB0"/>
    <w:rsid w:val="00D63179"/>
    <w:rsid w:val="00D816CC"/>
    <w:rsid w:val="00D942F5"/>
    <w:rsid w:val="00DA555E"/>
    <w:rsid w:val="00DA6D5E"/>
    <w:rsid w:val="00DD4C78"/>
    <w:rsid w:val="00DD5A8A"/>
    <w:rsid w:val="00E00690"/>
    <w:rsid w:val="00E0273E"/>
    <w:rsid w:val="00E07118"/>
    <w:rsid w:val="00E300F5"/>
    <w:rsid w:val="00E94898"/>
    <w:rsid w:val="00EA0AA0"/>
    <w:rsid w:val="00EA7B2C"/>
    <w:rsid w:val="00EC2EA8"/>
    <w:rsid w:val="00EE02DB"/>
    <w:rsid w:val="00EE0E67"/>
    <w:rsid w:val="00F16CB3"/>
    <w:rsid w:val="00F258B6"/>
    <w:rsid w:val="00F2747E"/>
    <w:rsid w:val="00F32651"/>
    <w:rsid w:val="00F34AAA"/>
    <w:rsid w:val="00F36BD7"/>
    <w:rsid w:val="00F615E2"/>
    <w:rsid w:val="00F713F7"/>
    <w:rsid w:val="00F77FCD"/>
    <w:rsid w:val="00F92BD2"/>
    <w:rsid w:val="00FA04AC"/>
    <w:rsid w:val="00FA5047"/>
    <w:rsid w:val="00FB15CC"/>
    <w:rsid w:val="00FC1705"/>
    <w:rsid w:val="00FC2CC7"/>
    <w:rsid w:val="00FD6ED4"/>
    <w:rsid w:val="01BA42EC"/>
    <w:rsid w:val="03045EDE"/>
    <w:rsid w:val="034332E7"/>
    <w:rsid w:val="0C9B708E"/>
    <w:rsid w:val="0EDE0722"/>
    <w:rsid w:val="14960827"/>
    <w:rsid w:val="15663C62"/>
    <w:rsid w:val="1750725B"/>
    <w:rsid w:val="18970F73"/>
    <w:rsid w:val="192332D0"/>
    <w:rsid w:val="1AA445CC"/>
    <w:rsid w:val="1AF24F07"/>
    <w:rsid w:val="1F7D4255"/>
    <w:rsid w:val="210018A7"/>
    <w:rsid w:val="21916167"/>
    <w:rsid w:val="226C1D9F"/>
    <w:rsid w:val="235B3B0D"/>
    <w:rsid w:val="291A5548"/>
    <w:rsid w:val="2BE82570"/>
    <w:rsid w:val="2E0410D7"/>
    <w:rsid w:val="2F714FE1"/>
    <w:rsid w:val="2FEB6CDA"/>
    <w:rsid w:val="3063468D"/>
    <w:rsid w:val="326F388E"/>
    <w:rsid w:val="353264F0"/>
    <w:rsid w:val="378F0701"/>
    <w:rsid w:val="37AA7A32"/>
    <w:rsid w:val="37EB1D53"/>
    <w:rsid w:val="397A5B0C"/>
    <w:rsid w:val="3B520DE7"/>
    <w:rsid w:val="3B856E66"/>
    <w:rsid w:val="3B8B7C9C"/>
    <w:rsid w:val="3BA53ABA"/>
    <w:rsid w:val="3CB973E8"/>
    <w:rsid w:val="3E6C3F46"/>
    <w:rsid w:val="48B03EF0"/>
    <w:rsid w:val="48EC4492"/>
    <w:rsid w:val="49044FA8"/>
    <w:rsid w:val="4AFD26E2"/>
    <w:rsid w:val="4D486F57"/>
    <w:rsid w:val="4E941740"/>
    <w:rsid w:val="50F93183"/>
    <w:rsid w:val="53F96094"/>
    <w:rsid w:val="5553587B"/>
    <w:rsid w:val="5B695639"/>
    <w:rsid w:val="5C8B312D"/>
    <w:rsid w:val="5F70203E"/>
    <w:rsid w:val="63426248"/>
    <w:rsid w:val="64C27689"/>
    <w:rsid w:val="6A830E27"/>
    <w:rsid w:val="6B31001D"/>
    <w:rsid w:val="6D4B5B07"/>
    <w:rsid w:val="71A52B49"/>
    <w:rsid w:val="72AA5AC5"/>
    <w:rsid w:val="74A8558A"/>
    <w:rsid w:val="7A36206E"/>
    <w:rsid w:val="7B3B0C68"/>
    <w:rsid w:val="7C751B37"/>
    <w:rsid w:val="7C8B1295"/>
    <w:rsid w:val="7D29044D"/>
    <w:rsid w:val="7D6D5306"/>
    <w:rsid w:val="7D785B9E"/>
    <w:rsid w:val="7F1F48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adjustRightInd w:val="0"/>
      <w:snapToGrid w:val="0"/>
      <w:spacing w:line="560" w:lineRule="exact"/>
      <w:ind w:left="-79" w:firstLine="563" w:firstLineChars="176"/>
      <w:outlineLvl w:val="0"/>
    </w:pPr>
    <w:rPr>
      <w:rFonts w:ascii="仿宋_GB2312" w:hAnsi="仿宋" w:eastAsia="黑体" w:cs="仿宋"/>
      <w:kern w:val="44"/>
      <w:sz w:val="32"/>
      <w:szCs w:val="32"/>
    </w:rPr>
  </w:style>
  <w:style w:type="paragraph" w:styleId="4">
    <w:name w:val="heading 2"/>
    <w:basedOn w:val="1"/>
    <w:next w:val="1"/>
    <w:qFormat/>
    <w:uiPriority w:val="99"/>
    <w:pPr>
      <w:keepNext/>
      <w:keepLines/>
      <w:spacing w:before="260" w:after="260" w:line="416" w:lineRule="auto"/>
      <w:outlineLvl w:val="1"/>
    </w:pPr>
    <w:rPr>
      <w:rFonts w:ascii="Cambria" w:hAnsi="Cambria" w:cs="Cambria"/>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rPr>
      <w:rFonts w:ascii="Times New Roman" w:hAnsi="Times New Roman" w:eastAsia="文星仿宋"/>
      <w:sz w:val="32"/>
      <w:lang w:val="zh-CN"/>
    </w:rPr>
  </w:style>
  <w:style w:type="paragraph" w:styleId="5">
    <w:name w:val="Plain Text"/>
    <w:basedOn w:val="1"/>
    <w:link w:val="24"/>
    <w:unhideWhenUsed/>
    <w:qFormat/>
    <w:uiPriority w:val="99"/>
    <w:pPr>
      <w:autoSpaceDE w:val="0"/>
      <w:autoSpaceDN w:val="0"/>
      <w:adjustRightInd w:val="0"/>
      <w:jc w:val="left"/>
    </w:pPr>
    <w:rPr>
      <w:rFonts w:hint="eastAsia" w:ascii="宋体" w:hAnsi="Courier New"/>
      <w:kern w:val="0"/>
      <w:szCs w:val="20"/>
    </w:rPr>
  </w:style>
  <w:style w:type="paragraph" w:styleId="6">
    <w:name w:val="Date"/>
    <w:basedOn w:val="1"/>
    <w:next w:val="1"/>
    <w:qFormat/>
    <w:uiPriority w:val="0"/>
    <w:pPr>
      <w:ind w:left="100" w:leftChars="2500"/>
    </w:pPr>
  </w:style>
  <w:style w:type="paragraph" w:styleId="7">
    <w:name w:val="Balloon Text"/>
    <w:basedOn w:val="1"/>
    <w:link w:val="19"/>
    <w:unhideWhenUsed/>
    <w:qFormat/>
    <w:uiPriority w:val="99"/>
    <w:rPr>
      <w:sz w:val="18"/>
      <w:szCs w:val="18"/>
    </w:rPr>
  </w:style>
  <w:style w:type="paragraph" w:styleId="8">
    <w:name w:val="footer"/>
    <w:basedOn w:val="1"/>
    <w:unhideWhenUsed/>
    <w:qFormat/>
    <w:uiPriority w:val="0"/>
    <w:pPr>
      <w:tabs>
        <w:tab w:val="center" w:pos="4153"/>
        <w:tab w:val="right" w:pos="8306"/>
      </w:tabs>
      <w:snapToGrid w:val="0"/>
      <w:jc w:val="left"/>
    </w:pPr>
    <w:rPr>
      <w:sz w:val="18"/>
      <w:szCs w:val="18"/>
    </w:rPr>
  </w:style>
  <w:style w:type="paragraph" w:styleId="9">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qFormat/>
    <w:uiPriority w:val="39"/>
  </w:style>
  <w:style w:type="paragraph" w:styleId="11">
    <w:name w:val="toc 2"/>
    <w:basedOn w:val="1"/>
    <w:next w:val="1"/>
    <w:unhideWhenUsed/>
    <w:qFormat/>
    <w:uiPriority w:val="39"/>
    <w:pPr>
      <w:ind w:left="420" w:leftChars="200"/>
    </w:pPr>
  </w:style>
  <w:style w:type="paragraph" w:styleId="12">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basedOn w:val="15"/>
    <w:qFormat/>
    <w:uiPriority w:val="0"/>
    <w:rPr>
      <w:rFonts w:ascii="Times New Roman" w:hAnsi="Times New Roman" w:cs="Times New Roman"/>
      <w:b/>
      <w:bCs/>
    </w:rPr>
  </w:style>
  <w:style w:type="character" w:styleId="17">
    <w:name w:val="page number"/>
    <w:basedOn w:val="15"/>
    <w:unhideWhenUsed/>
    <w:qFormat/>
    <w:uiPriority w:val="99"/>
  </w:style>
  <w:style w:type="character" w:styleId="18">
    <w:name w:val="Hyperlink"/>
    <w:basedOn w:val="15"/>
    <w:qFormat/>
    <w:uiPriority w:val="0"/>
    <w:rPr>
      <w:color w:val="0000FF"/>
      <w:u w:val="single"/>
    </w:rPr>
  </w:style>
  <w:style w:type="character" w:customStyle="1" w:styleId="19">
    <w:name w:val="批注框文本 Char"/>
    <w:basedOn w:val="15"/>
    <w:link w:val="7"/>
    <w:semiHidden/>
    <w:qFormat/>
    <w:uiPriority w:val="99"/>
    <w:rPr>
      <w:kern w:val="2"/>
      <w:sz w:val="18"/>
      <w:szCs w:val="18"/>
    </w:rPr>
  </w:style>
  <w:style w:type="paragraph" w:customStyle="1" w:styleId="20">
    <w:name w:val="列出段落1"/>
    <w:basedOn w:val="1"/>
    <w:qFormat/>
    <w:uiPriority w:val="0"/>
    <w:pPr>
      <w:ind w:firstLine="420" w:firstLineChars="200"/>
    </w:pPr>
    <w:rPr>
      <w:rFonts w:ascii="Calibri" w:hAnsi="Calibri"/>
      <w:szCs w:val="21"/>
    </w:rPr>
  </w:style>
  <w:style w:type="paragraph" w:styleId="21">
    <w:name w:val="List Paragraph"/>
    <w:basedOn w:val="1"/>
    <w:qFormat/>
    <w:uiPriority w:val="34"/>
    <w:pPr>
      <w:ind w:firstLine="420" w:firstLineChars="200"/>
    </w:pPr>
    <w:rPr>
      <w:rFonts w:ascii="Calibri" w:hAnsi="Calibri"/>
    </w:rPr>
  </w:style>
  <w:style w:type="paragraph" w:customStyle="1" w:styleId="22">
    <w:name w:val="正文 A"/>
    <w:qFormat/>
    <w:uiPriority w:val="0"/>
    <w:pPr>
      <w:framePr w:wrap="around" w:vAnchor="margin" w:hAnchor="text" w:y="1"/>
      <w:widowControl w:val="0"/>
      <w:jc w:val="both"/>
    </w:pPr>
    <w:rPr>
      <w:rFonts w:ascii="Times New Roman" w:hAnsi="Times New Roman" w:eastAsia="Times New Roman" w:cs="Arial Unicode MS"/>
      <w:color w:val="000000"/>
      <w:kern w:val="2"/>
      <w:sz w:val="21"/>
      <w:szCs w:val="21"/>
      <w:u w:color="000000"/>
      <w:lang w:val="en-US" w:eastAsia="zh-CN" w:bidi="ar-SA"/>
    </w:rPr>
  </w:style>
  <w:style w:type="character" w:customStyle="1" w:styleId="23">
    <w:name w:val="纯文本 Char"/>
    <w:basedOn w:val="15"/>
    <w:link w:val="5"/>
    <w:unhideWhenUsed/>
    <w:qFormat/>
    <w:locked/>
    <w:uiPriority w:val="99"/>
    <w:rPr>
      <w:rFonts w:ascii="宋体" w:hAnsi="Courier New"/>
      <w:sz w:val="21"/>
    </w:rPr>
  </w:style>
  <w:style w:type="character" w:customStyle="1" w:styleId="24">
    <w:name w:val="纯文本 Char1"/>
    <w:basedOn w:val="15"/>
    <w:link w:val="5"/>
    <w:semiHidden/>
    <w:qFormat/>
    <w:uiPriority w:val="99"/>
    <w:rPr>
      <w:rFonts w:ascii="宋体" w:hAnsi="Courier New" w:cs="Courier New"/>
      <w:kern w:val="2"/>
      <w:sz w:val="21"/>
      <w:szCs w:val="21"/>
    </w:rPr>
  </w:style>
  <w:style w:type="paragraph" w:customStyle="1" w:styleId="25">
    <w:name w:val="列出段落"/>
    <w:basedOn w:val="1"/>
    <w:qFormat/>
    <w:uiPriority w:val="99"/>
    <w:pPr>
      <w:ind w:firstLine="420" w:firstLineChars="200"/>
    </w:pPr>
    <w:rPr>
      <w:rFonts w:ascii="Times New Roman" w:hAnsi="Times New Roman"/>
      <w:szCs w:val="24"/>
    </w:rPr>
  </w:style>
  <w:style w:type="paragraph" w:customStyle="1" w:styleId="26">
    <w:name w:val="大标题"/>
    <w:basedOn w:val="27"/>
    <w:qFormat/>
    <w:uiPriority w:val="0"/>
  </w:style>
  <w:style w:type="paragraph" w:customStyle="1" w:styleId="27">
    <w:name w:val="标题1"/>
    <w:basedOn w:val="1"/>
    <w:qFormat/>
    <w:uiPriority w:val="0"/>
    <w:pPr>
      <w:spacing w:beforeLines="100" w:afterLines="100"/>
      <w:jc w:val="center"/>
    </w:pPr>
    <w:rPr>
      <w:rFonts w:ascii="华文中宋" w:hAnsi="华文中宋" w:eastAsia="华文中宋"/>
      <w:b/>
      <w:sz w:val="40"/>
      <w:szCs w:val="48"/>
    </w:rPr>
  </w:style>
  <w:style w:type="paragraph" w:customStyle="1" w:styleId="28">
    <w:name w:val="正文-公1"/>
    <w:basedOn w:val="1"/>
    <w:qFormat/>
    <w:uiPriority w:val="0"/>
    <w:pPr>
      <w:ind w:firstLine="200" w:firstLineChars="200"/>
      <w:jc w:val="left"/>
    </w:pPr>
    <w:rPr>
      <w:rFonts w:ascii="Times New Roman" w:hAnsi="Times New Roman" w:eastAsia="仿宋_GB2312"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55DA7E-6DAC-4144-8D3A-CA8ED3BC403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105</Words>
  <Characters>604</Characters>
  <Lines>5</Lines>
  <Paragraphs>1</Paragraphs>
  <TotalTime>10</TotalTime>
  <ScaleCrop>false</ScaleCrop>
  <LinksUpToDate>false</LinksUpToDate>
  <CharactersWithSpaces>708</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2019-04-09T02:32:00Z</dcterms:created>
  <dc:creator>Administrator</dc:creator>
  <cp:lastModifiedBy>农业农村委公共</cp:lastModifiedBy>
  <cp:lastPrinted>2021-11-10T06:12:00Z</cp:lastPrinted>
  <dcterms:modified xsi:type="dcterms:W3CDTF">2021-12-17T08:20:29Z</dcterms:modified>
  <dc:title>天津市东丽区畜牧水产服务中心文件</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9E4F3446F9554023884B8519E78AA4A6</vt:lpwstr>
  </property>
</Properties>
</file>