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津丽政务〔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8号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汤海燕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关于印发《区政务服务办贯彻落实〈扎实稳住经济的一揽子政策措施〉的工作举措》的通知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各科室、各部门：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《区政务服务办贯彻落实〈扎实稳住经济的一揽子政策措施〉的工作举措》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第13次主任办公会议审议通过，现印发各科室、各部门，请遵照落实。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2022年6月16日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区政务服务办贯彻落实《扎实稳住经济的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一揽子政策措施》的工作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4个方面15项工作措施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为深入贯彻落实党中央“疫情要防住、经济要稳住、发展要安全”的顶层设计，按照市、区两级关于贯彻落实扎实稳住经济一揽子政策措施的总体部署，区政务服务办对照国家级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33条、市级35条、区级25条，充分结合工作职责，围绕中心工作，制定如下工作举措。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一、统筹疫情防控常态化和优化营商环境双到位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1.坚持疫情防控“动态清零”总方针。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聚焦关键场所、关键时间、关键群体，严格落实区疫情防控指挥部各项要求。做到疫情不蔓延、屏障不松懈、服务不停歇。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2.持续落实“四个全员抓”工作机制。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营商环境联席会议机制作用，在做好营商环境指标建设、完成好优化营商环境三年行动计划各项任务的基础上，组织各成员单位适时研究一揽子政策措施推进落实中的问题，以市场主体充分享受政策红利为目标，确保各项惠企政策落地见效。依托2022年优化营商环境季度工作任务分解表的148项工作任务，细化季度目标，加大协调推动和检查督导力度，确保各项任务按期完成。坚持问题导向，紧盯2021年度营商环境评价和月度动态监测反馈问题，及时查摆相关指标存在的问题和不足，悟深悟透问题产生原因，对标对表，夯实基础，勇于创新，形成“东丽经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3.加大政策宣传力度，提升惠企政策的知晓度。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好用足我区优化营商环境宣传渠道，组织各相关单位通过制作“一图读懂”、动画视频、政策“明白纸”等形式，及时宣传、解读惠企便民的新政策、新举措。将“双万双服”工作落到实处，全体处、科级干部积极走访企业，有求必应、无事不扰、随叫随到，用心倾听企业家诉求，并向企业及时推广惠企政策。同时，不断提升基层服务能力，开展涉企事项代办员培训，让代办员和“企业保姆”带着政策进企业，让市场主体及时了解政策、享受政策，切实将政策措施回归市场，让企业群众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二、以改革创新提高服务效能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4.畅通网上办事渠道，提升事项数据准确性。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政务一网通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系统平台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，按照政务服务事项规范化操作规程，及时更新完善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系统数据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线上线下同源发布、同步更新，做到服务范围统一、流程统一、标准统一，线上线下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实行无差别受理、同标准办理。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全市“网上办”负面清单，梳理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公布本区“网上办”负面清单。围绕高频事项，添加搜索热词，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企业群众快速查询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待办事项的精准性、指向性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5.规范审批行为，提高审批效率。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深入落实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政务服务标准化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工作要求，及时出台本区政务服务事项清单及“四免”“免申即享”等一系列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改革类事项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在审批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过程中，充分运用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“证照分离”、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告知承诺、容缺受理等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便利化举措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，简化办事环节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、降低办事门槛，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提升企业群众办事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意度。深化“场景式”审批服务模式，围绕若干高频事项分别推出“办成一件事”审批流程，在市场准入环节持续加速。制定《东丽区政务服务办公室行政许可事项现场远程视频踏勘实施意见（试行）》，以远程视频踏勘替代传统人工现场核查，突破审批工作时间、空间限制，向企业群众提供更加便捷高效的政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三、全力服务项目审批不断激发市场活力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6.“一套材料”办审批模式服务项目提速。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结合《东丽区投资项目“一套材料”办审批改革实施方案》（津丽政务〔2022〕2号），优化改进投资项目前期审批流程，对符合条件的财政投融资类房屋建筑、基础设施项目，依据项目单位意愿，实行“项目单位编报综合可行性研究报告（一套材料），审批部门统一受理、同步评估、同步审批、统一反馈”的审批模式，审批时间不超过7个工作日，推动项目提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7.分期办理可研助力重点项目达标即批。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考虑疫情影响，经专项债专班综合研判，对确有需求的项目开辟绿色通道，指导项目单位采取分期申报的方式，使符合条件的子项目能够先期办理可行性研究报告、初步设计等审批手续，开展招投标等工作，快速落地实施，保障项目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8.政府购买服务把好项目审批关。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坚持“先评估、后决策”的原则，结合项目深度需求对政府投资项目的可行性研究报告、初步设计，通过政府购买服务的方式，委托评审机构进行专家评估，在推进审批提速的同时严把技术关。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9.保姆式服务助力核准备案快速办理。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综合运用远程服务、多部门内部研商等举措，服务社会投资项目选取“政策最优、手续最简”的审批方案，按照项目类别制作申报模板及网上录件流程，服务项目快速立项。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10.全面实行核准承诺制办理。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在项目主要建设内容、建设规模确定的前提下，项目单位可根据需求，承诺按照专家意见修改核准报告，先行以承诺制方式进行项目核准，保障相关手续快速办理。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11.推行在线自动备案模式。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按照《关于实施社会投资备案类建设项目在线自动备案的通知》，对符合条件的项目实行自动备案，指导项目单位完成项目申报后，即可取得加盖电子印章的在线备案文件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四、保障审批服务不间断、不减速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12.视疫情防控需要做好线下线上动态切换。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按照区指工作要求，适时推行 “网上办、不见面”审批服务模式。多渠道对外公布各窗口咨询电话，保持电话畅通，做到“一打就通”，及为申请人答疑解惑，为不熟悉“网上办”的企业群众做好业务指导。在申请人提出办件申请时，做到“一报即审”，主动联系办事人，了解企业群众需求，协助其快速解决办事需求，切实做好“不见面”审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13.推行“综窗”办理新模式。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设“综合代办”专区，实现356项行政许可和公共服务事项“一窗受理”。引进专业服务团队，为办事企业群众提供专业、细致、周全的综合服务。再造服务流程。依托综合窗口，提供咨询、接件、受理、材料流转、证照发放“一窗式”服务，实现“前台综合受理、后台分类审批、统一窗口出件”的服务模式，避免办事人在窗口之间来回跑，让企业群众体验到政务服务的新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14.多措并举推出各类特色服务。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置老年人服务窗口、“办不成事”反映窗口，并向办事群众提供延时服务、预约服务、“码上办”等配套服务。拓宽服务渠道，利用“云端”视频座谈会、一对一线上指导、微信群、电话等手段远程指导申请人完善申报材料，最大限度压缩审批时限，认真践行“不说不行、只跑一次”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15.不断加强窗口作风建设。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通过专人巡查、视频监控等途径，加大对窗口人员首问负责、执行纪律、文明接待、办事时效等方面的监督管理。完善12345热线工单办理流程，及时对接、及时处理、及时反馈，做到件件有着落,事事有回音。</w:t>
      </w:r>
    </w:p>
    <w:sectPr>
      <w:footerReference r:id="rId3" w:type="default"/>
      <w:pgSz w:w="11906" w:h="16838"/>
      <w:pgMar w:top="2041" w:right="1559" w:bottom="1701" w:left="1559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ahoma" w:hAnsi="Tahoma" w:cs="Tahom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ahoma" w:hAnsi="Tahoma" w:cs="Tahom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ahoma" w:hAnsi="Tahoma" w:cs="Tahom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ahoma" w:hAnsi="Tahoma" w:cs="Tahom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ahoma" w:hAnsi="Tahoma" w:cs="Tahom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YzI3OTVhOTU1MDRiZDBhZGE3MjI2NDc2MjdmOTEifQ=="/>
  </w:docVars>
  <w:rsids>
    <w:rsidRoot w:val="00000000"/>
    <w:rsid w:val="074D261F"/>
    <w:rsid w:val="14197711"/>
    <w:rsid w:val="180D49D4"/>
    <w:rsid w:val="255C4E86"/>
    <w:rsid w:val="3A1A2B0D"/>
    <w:rsid w:val="3B4402BD"/>
    <w:rsid w:val="3D562AF2"/>
    <w:rsid w:val="4DF77920"/>
    <w:rsid w:val="4F281560"/>
    <w:rsid w:val="5F865CB4"/>
    <w:rsid w:val="5FB17DDF"/>
    <w:rsid w:val="627246B8"/>
    <w:rsid w:val="6D704F86"/>
    <w:rsid w:val="72C60FDD"/>
    <w:rsid w:val="76E6209E"/>
    <w:rsid w:val="7BA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2706</Words>
  <Characters>2760</Characters>
  <Lines>0</Lines>
  <Paragraphs>0</Paragraphs>
  <TotalTime>5</TotalTime>
  <ScaleCrop>false</ScaleCrop>
  <LinksUpToDate>false</LinksUpToDate>
  <CharactersWithSpaces>2793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2022-06-11T09:43:00Z</dcterms:created>
  <dc:creator>Zhao</dc:creator>
  <cp:lastModifiedBy>赵啟志</cp:lastModifiedBy>
  <cp:lastPrinted>2022-06-15T02:48:00Z</cp:lastPrinted>
  <dcterms:modified xsi:type="dcterms:W3CDTF">2022-06-17T06:27:04Z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1D4507D19A14487C94B029700E874735</vt:lpwstr>
  </property>
</Properties>
</file>