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jc w:val="center"/>
        <w:rPr>
          <w:rFonts w:hint="eastAsia" w:eastAsia="楷体_GB2312"/>
          <w:kern w:val="0"/>
          <w:position w:val="-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津丽</w:t>
      </w:r>
      <w:r>
        <w:rPr>
          <w:rFonts w:hint="eastAsia" w:ascii="仿宋_GB2312" w:eastAsia="仿宋_GB2312"/>
          <w:sz w:val="32"/>
          <w:szCs w:val="32"/>
          <w:lang w:eastAsia="zh-CN"/>
        </w:rPr>
        <w:t>政务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bottom w:val="single" w:color="FFFFFF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关于印发《东丽区“水电气暖”协同联办报装服务机制》的通知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区各街道园区管委会、各委办局及相关单位：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为深入贯彻党中央、国务院优化营商环境系列部署，全力落实天津市“十项行动”和9方面33条政策措施，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提升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水电气暖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接入服务质量和效能，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东丽区政务服务办公室牵头，会同区城管委、工信局、水务局，联合制定了《东丽区“水电气暖”协同联办报装服务机制》（以下简称“机制”），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有关事项通知如下：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以习近平新时代中国特色社会主义思想为指导，坚持守正创新，在确保“水电气暖”报装工程质量安全条件下，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采用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政府主导、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市场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 w:color="auto"/>
        </w:rPr>
        <w:t>化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运营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、企业承诺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形式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统筹建设工程整体进度，保留各专营报装业务原有灵活性、独立性，创新优化对接、服务、审批、施工、验收等环节的协同联办机制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 w:color="auto"/>
        </w:rPr>
        <w:t>进一步整合力量、平台和资源，推动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“水电气暖”报装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 w:color="auto"/>
        </w:rPr>
        <w:t>空间集中、功能集成、覆盖延伸、服务优质、共建共享，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从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减环节、优流程、压时限、提效率方面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精准对接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市场需求，不断提升服务的便捷性、高效性、智慧性，着力打造市场化、国际化、便利化一流营商环境。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Calibri" w:eastAsia="仿宋_GB2312" w:cs="Calibri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二、具体工作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突出“全周期”服务，着力解决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水电气暖</w:t>
      </w:r>
      <w:r>
        <w:rPr>
          <w:rFonts w:hint="eastAsia" w:ascii="仿宋_GB2312" w:hAnsi="Calibri" w:eastAsia="仿宋_GB2312" w:cs="Calibri"/>
          <w:sz w:val="32"/>
          <w:szCs w:val="32"/>
        </w:rPr>
        <w:t>报装接入业务分头申请、资料重复提交、反复踏勘和“管线打架”重复施工等突出问题，创新企业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水电气暖</w:t>
      </w:r>
      <w:r>
        <w:rPr>
          <w:rFonts w:hint="eastAsia" w:ascii="仿宋_GB2312" w:hAnsi="Calibri" w:eastAsia="仿宋_GB2312" w:cs="Calibri"/>
          <w:sz w:val="32"/>
          <w:szCs w:val="32"/>
        </w:rPr>
        <w:t>协同联办报装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>机制</w:t>
      </w:r>
      <w:r>
        <w:rPr>
          <w:rFonts w:hint="eastAsia" w:ascii="仿宋_GB2312" w:hAnsi="Calibri" w:eastAsia="仿宋_GB2312" w:cs="Calibri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（一）超前对接。</w:t>
      </w:r>
      <w:r>
        <w:rPr>
          <w:rFonts w:hint="eastAsia" w:ascii="仿宋_GB2312" w:hAnsi="Calibri" w:eastAsia="仿宋_GB2312" w:cs="Calibri"/>
          <w:sz w:val="32"/>
          <w:szCs w:val="32"/>
        </w:rPr>
        <w:t>实行政务服务与市政公用服务联动，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在投资项目申办立项阶段，由区政务服务办负责推广介绍本“机制”，并依企业自主决策，将项目水电气暖报装需求，推送至对应行业主管部门；行业主管部门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及时组织相关</w:t>
      </w:r>
      <w:r>
        <w:rPr>
          <w:rFonts w:hint="eastAsia" w:ascii="仿宋_GB2312" w:hAnsi="Calibri" w:eastAsia="仿宋_GB2312" w:cs="Calibri"/>
          <w:sz w:val="32"/>
          <w:szCs w:val="32"/>
        </w:rPr>
        <w:t>专营单位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与项目单位建立联系，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按各自领域政策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要求进行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综合研判，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超前提供具体指导服务，核实地块周边外部市政配套，规划部署上位</w:t>
      </w:r>
      <w:r>
        <w:rPr>
          <w:rFonts w:hint="eastAsia" w:ascii="仿宋_GB2312" w:hAnsi="Calibri" w:eastAsia="仿宋_GB2312" w:cs="Calibri"/>
          <w:sz w:val="32"/>
          <w:szCs w:val="32"/>
        </w:rPr>
        <w:t>管网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和接入条件。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责任单位：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区政务服务办</w:t>
      </w:r>
      <w:r>
        <w:rPr>
          <w:rFonts w:hint="eastAsia" w:ascii="楷体_GB2312" w:hAnsi="楷体_GB2312" w:eastAsia="楷体_GB2312" w:cs="楷体_GB2312"/>
          <w:sz w:val="32"/>
          <w:szCs w:val="32"/>
        </w:rPr>
        <w:t>、城管委、工信局、水务局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及各自分管水电气暖</w:t>
      </w:r>
      <w:r>
        <w:rPr>
          <w:rFonts w:hint="eastAsia" w:ascii="楷体_GB2312" w:hAnsi="楷体_GB2312" w:eastAsia="楷体_GB2312" w:cs="楷体_GB2312"/>
          <w:sz w:val="32"/>
          <w:szCs w:val="32"/>
        </w:rPr>
        <w:t>各专营单位（以下简称“各专营单位”）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Calibri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协同服务。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各</w:t>
      </w:r>
      <w:r>
        <w:rPr>
          <w:rFonts w:hint="eastAsia" w:ascii="仿宋_GB2312" w:hAnsi="Calibri" w:eastAsia="仿宋_GB2312" w:cs="Calibri"/>
          <w:sz w:val="32"/>
          <w:szCs w:val="32"/>
        </w:rPr>
        <w:t>专营单位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依据各自行业规程要求，</w:t>
      </w:r>
      <w:r>
        <w:rPr>
          <w:rFonts w:hint="eastAsia" w:ascii="仿宋_GB2312" w:hAnsi="Calibri" w:eastAsia="仿宋_GB2312" w:cs="Calibri"/>
          <w:sz w:val="32"/>
          <w:szCs w:val="32"/>
        </w:rPr>
        <w:t>超前对接企业报装意向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开展政策解读、流程介绍、要件说明等前瞻性指导工作；根据项目</w:t>
      </w:r>
      <w:r>
        <w:rPr>
          <w:rFonts w:hint="eastAsia" w:ascii="仿宋_GB2312" w:hAnsi="Calibri" w:eastAsia="仿宋_GB2312" w:cs="Calibri"/>
          <w:sz w:val="32"/>
          <w:szCs w:val="32"/>
        </w:rPr>
        <w:t>设计方案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、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施工方案深度和稳定度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集成具备条件的相关专业，以“一家牵头、多家协同”形式开展联合设计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、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前端控制，源头处置</w:t>
      </w:r>
      <w:r>
        <w:rPr>
          <w:rFonts w:hint="eastAsia" w:ascii="仿宋_GB2312" w:hAnsi="Calibri" w:eastAsia="仿宋_GB2312" w:cs="Calibri"/>
          <w:sz w:val="32"/>
          <w:szCs w:val="32"/>
        </w:rPr>
        <w:t>化解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“水电气暖”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报装环节潜在问题；指导项目单位做好临水、临电等施工准备工作，</w:t>
      </w:r>
      <w:r>
        <w:rPr>
          <w:rFonts w:hint="eastAsia" w:ascii="仿宋_GB2312" w:hAnsi="Calibri" w:eastAsia="仿宋_GB2312" w:cs="Calibri"/>
          <w:sz w:val="32"/>
          <w:szCs w:val="32"/>
        </w:rPr>
        <w:t>为企业用户后续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启动报装工作提供支撑</w:t>
      </w:r>
      <w:r>
        <w:rPr>
          <w:rFonts w:hint="eastAsia" w:ascii="仿宋_GB2312" w:hAnsi="Calibri" w:eastAsia="仿宋_GB2312" w:cs="Calibri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 w:cs="Calibri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责任单位：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区政务服务办</w:t>
      </w:r>
      <w:r>
        <w:rPr>
          <w:rFonts w:hint="eastAsia" w:ascii="楷体_GB2312" w:hAnsi="楷体_GB2312" w:eastAsia="楷体_GB2312" w:cs="楷体_GB2312"/>
          <w:sz w:val="32"/>
          <w:szCs w:val="32"/>
        </w:rPr>
        <w:t>、城管委、工信局、水务局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及各</w:t>
      </w:r>
      <w:r>
        <w:rPr>
          <w:rFonts w:hint="eastAsia" w:ascii="楷体_GB2312" w:hAnsi="楷体_GB2312" w:eastAsia="楷体_GB2312" w:cs="楷体_GB2312"/>
          <w:sz w:val="32"/>
          <w:szCs w:val="32"/>
        </w:rPr>
        <w:t>专营单位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 w:cs="Calibri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）一窗受理。</w:t>
      </w:r>
      <w:r>
        <w:rPr>
          <w:rFonts w:hint="eastAsia" w:ascii="仿宋_GB2312" w:hAnsi="Calibri" w:eastAsia="仿宋_GB2312" w:cs="Calibri"/>
          <w:sz w:val="32"/>
          <w:szCs w:val="32"/>
        </w:rPr>
        <w:t>政务服务大厅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投资项目</w:t>
      </w:r>
      <w:r>
        <w:rPr>
          <w:rFonts w:hint="eastAsia" w:ascii="仿宋_GB2312" w:hAnsi="Calibri" w:eastAsia="仿宋_GB2312" w:cs="Calibri"/>
          <w:sz w:val="32"/>
          <w:szCs w:val="32"/>
        </w:rPr>
        <w:t>综合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受理</w:t>
      </w:r>
      <w:r>
        <w:rPr>
          <w:rFonts w:hint="eastAsia" w:ascii="仿宋_GB2312" w:hAnsi="Calibri" w:eastAsia="仿宋_GB2312" w:cs="Calibri"/>
          <w:sz w:val="32"/>
          <w:szCs w:val="32"/>
        </w:rPr>
        <w:t>窗口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领头水电气暖相关报装事项，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各专营单位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分头做好服务，遵循能并尽并、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竭尽集约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原则，灵活采用</w:t>
      </w:r>
      <w:r>
        <w:rPr>
          <w:rFonts w:hint="eastAsia" w:ascii="仿宋_GB2312" w:hAnsi="Calibri" w:eastAsia="仿宋_GB2312" w:cs="Calibri"/>
          <w:sz w:val="32"/>
          <w:szCs w:val="32"/>
        </w:rPr>
        <w:t>线上线下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渠道</w:t>
      </w:r>
      <w:r>
        <w:rPr>
          <w:rFonts w:hint="eastAsia" w:ascii="仿宋_GB2312" w:hAnsi="Calibri" w:eastAsia="仿宋_GB2312" w:cs="Calibri"/>
          <w:sz w:val="32"/>
          <w:szCs w:val="32"/>
        </w:rPr>
        <w:t>，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实现</w:t>
      </w:r>
      <w:r>
        <w:rPr>
          <w:rFonts w:hint="eastAsia" w:ascii="仿宋_GB2312" w:hAnsi="Calibri" w:eastAsia="仿宋_GB2312" w:cs="Calibri"/>
          <w:sz w:val="32"/>
          <w:szCs w:val="32"/>
        </w:rPr>
        <w:t>“一窗受理”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推动报装工作时序加速，对</w:t>
      </w:r>
      <w:r>
        <w:rPr>
          <w:rFonts w:hint="eastAsia" w:ascii="仿宋_GB2312" w:hAnsi="Calibri" w:eastAsia="仿宋_GB2312" w:cs="Calibri"/>
          <w:sz w:val="32"/>
          <w:szCs w:val="32"/>
        </w:rPr>
        <w:t>申请材料齐全并符合法定标准的，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相关</w:t>
      </w:r>
      <w:r>
        <w:rPr>
          <w:rFonts w:hint="eastAsia" w:ascii="仿宋_GB2312" w:hAnsi="Calibri" w:eastAsia="仿宋_GB2312" w:cs="Calibri"/>
          <w:sz w:val="32"/>
          <w:szCs w:val="32"/>
        </w:rPr>
        <w:t>审批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事项</w:t>
      </w:r>
      <w:r>
        <w:rPr>
          <w:rFonts w:hint="eastAsia" w:ascii="仿宋_GB2312" w:hAnsi="Calibri" w:eastAsia="仿宋_GB2312" w:cs="Calibri"/>
          <w:sz w:val="32"/>
          <w:szCs w:val="32"/>
        </w:rPr>
        <w:t>在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承诺</w:t>
      </w:r>
      <w:r>
        <w:rPr>
          <w:rFonts w:hint="eastAsia" w:ascii="仿宋_GB2312" w:hAnsi="Calibri" w:eastAsia="仿宋_GB2312" w:cs="Calibri"/>
          <w:sz w:val="32"/>
          <w:szCs w:val="32"/>
        </w:rPr>
        <w:t>工作日内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启动后续工作</w:t>
      </w:r>
      <w:r>
        <w:rPr>
          <w:rFonts w:hint="eastAsia" w:ascii="仿宋_GB2312" w:hAnsi="Calibri" w:eastAsia="仿宋_GB2312" w:cs="Calibri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责任单位：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区政务服务办及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各专营单位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Calibri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并行推动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在保障工程安全可靠、依法合规基础上，依企业申请，各专营单位</w:t>
      </w:r>
      <w:r>
        <w:rPr>
          <w:rFonts w:hint="eastAsia" w:ascii="仿宋_GB2312" w:hAnsi="Calibri" w:eastAsia="仿宋_GB2312" w:cs="Calibri"/>
          <w:sz w:val="32"/>
          <w:szCs w:val="32"/>
        </w:rPr>
        <w:t>应加强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>与建筑工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程现场进程匹配</w:t>
      </w:r>
      <w:r>
        <w:rPr>
          <w:rFonts w:hint="eastAsia" w:ascii="仿宋_GB2312" w:hAnsi="Calibri" w:eastAsia="仿宋_GB2312" w:cs="Calibri"/>
          <w:sz w:val="32"/>
          <w:szCs w:val="32"/>
        </w:rPr>
        <w:t>，结合项目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现场</w:t>
      </w:r>
      <w:r>
        <w:rPr>
          <w:rFonts w:hint="eastAsia" w:ascii="仿宋_GB2312" w:hAnsi="Calibri" w:eastAsia="仿宋_GB2312" w:cs="Calibri"/>
          <w:sz w:val="32"/>
          <w:szCs w:val="32"/>
        </w:rPr>
        <w:t>实际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进度和工作条件</w:t>
      </w:r>
      <w:r>
        <w:rPr>
          <w:rFonts w:hint="eastAsia" w:ascii="仿宋_GB2312" w:hAnsi="Calibri" w:eastAsia="仿宋_GB2312" w:cs="Calibri"/>
          <w:sz w:val="32"/>
          <w:szCs w:val="32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主动上门服务，最大限度创造条件，实施现场</w:t>
      </w:r>
      <w:r>
        <w:rPr>
          <w:rFonts w:hint="eastAsia" w:ascii="仿宋_GB2312" w:hAnsi="Calibri" w:eastAsia="仿宋_GB2312" w:cs="Calibri"/>
          <w:sz w:val="32"/>
          <w:szCs w:val="32"/>
        </w:rPr>
        <w:t>踏勘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、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接入方案设计、商务谈判、费用缴纳、施工组织等环节的联合开展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以尽量</w:t>
      </w:r>
      <w:r>
        <w:rPr>
          <w:rFonts w:hint="eastAsia" w:ascii="仿宋_GB2312" w:hAnsi="Calibri" w:eastAsia="仿宋_GB2312" w:cs="Calibri"/>
          <w:sz w:val="32"/>
          <w:szCs w:val="32"/>
        </w:rPr>
        <w:t>减少重复开挖和修复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作业</w:t>
      </w:r>
      <w:r>
        <w:rPr>
          <w:rFonts w:hint="eastAsia" w:ascii="仿宋_GB2312" w:hAnsi="Calibri" w:eastAsia="仿宋_GB2312" w:cs="Calibri"/>
          <w:sz w:val="32"/>
          <w:szCs w:val="32"/>
        </w:rPr>
        <w:t>量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Calibri"/>
          <w:sz w:val="32"/>
          <w:szCs w:val="32"/>
        </w:rPr>
        <w:t>降低企业成本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和施工影响</w:t>
      </w:r>
      <w:r>
        <w:rPr>
          <w:rFonts w:hint="eastAsia" w:ascii="仿宋_GB2312" w:hAnsi="Calibri" w:eastAsia="仿宋_GB2312" w:cs="Calibri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责任单位：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各专营单位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Calibri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报装</w:t>
      </w:r>
      <w:r>
        <w:rPr>
          <w:rFonts w:hint="eastAsia" w:ascii="楷体_GB2312" w:hAnsi="楷体_GB2312" w:eastAsia="楷体_GB2312" w:cs="楷体_GB2312"/>
          <w:sz w:val="32"/>
          <w:szCs w:val="32"/>
        </w:rPr>
        <w:t>验收。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>对有</w:t>
      </w:r>
      <w:r>
        <w:rPr>
          <w:rFonts w:hint="eastAsia" w:ascii="仿宋_GB2312" w:hAnsi="Calibri" w:eastAsia="仿宋_GB2312" w:cs="Calibri"/>
          <w:sz w:val="32"/>
          <w:szCs w:val="32"/>
        </w:rPr>
        <w:t>需求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>并条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件允许的项目，依</w:t>
      </w:r>
      <w:r>
        <w:rPr>
          <w:rFonts w:hint="eastAsia" w:ascii="仿宋_GB2312" w:hAnsi="Calibri" w:eastAsia="仿宋_GB2312" w:cs="Calibri"/>
          <w:sz w:val="32"/>
          <w:szCs w:val="32"/>
        </w:rPr>
        <w:t>企业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申请</w:t>
      </w:r>
      <w:r>
        <w:rPr>
          <w:rFonts w:hint="eastAsia" w:ascii="仿宋_GB2312" w:hAnsi="Calibri" w:eastAsia="仿宋_GB2312" w:cs="Calibri"/>
          <w:sz w:val="32"/>
          <w:szCs w:val="32"/>
        </w:rPr>
        <w:t>自主选择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按照事先协商时间，可执行水电气暖专业</w:t>
      </w:r>
      <w:r>
        <w:rPr>
          <w:rFonts w:hint="eastAsia" w:ascii="仿宋_GB2312" w:hAnsi="Calibri" w:eastAsia="仿宋_GB2312" w:cs="Calibri"/>
          <w:sz w:val="32"/>
          <w:szCs w:val="32"/>
        </w:rPr>
        <w:t>联合上门检测、试压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等</w:t>
      </w:r>
      <w:r>
        <w:rPr>
          <w:rFonts w:hint="eastAsia" w:ascii="仿宋_GB2312" w:hAnsi="Calibri" w:eastAsia="仿宋_GB2312" w:cs="Calibri"/>
          <w:sz w:val="32"/>
          <w:szCs w:val="32"/>
        </w:rPr>
        <w:t>验收服务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验收情况及时报送相应上级部门与行业主管部门，探索</w:t>
      </w:r>
      <w:r>
        <w:rPr>
          <w:rFonts w:hint="eastAsia" w:ascii="仿宋_GB2312" w:hAnsi="Calibri" w:eastAsia="仿宋_GB2312" w:cs="Calibri"/>
          <w:sz w:val="32"/>
          <w:szCs w:val="32"/>
        </w:rPr>
        <w:t>“通水、通电、通气、通暖”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工程联合</w:t>
      </w:r>
      <w:r>
        <w:rPr>
          <w:rFonts w:hint="eastAsia" w:ascii="仿宋_GB2312" w:hAnsi="Calibri" w:eastAsia="仿宋_GB2312" w:cs="Calibri"/>
          <w:sz w:val="32"/>
          <w:szCs w:val="32"/>
        </w:rPr>
        <w:t>验收新模式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责任单位：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</w:rPr>
        <w:t>城管委、工信局、水务局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及各专营单位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（一）强化工作落实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各行业主管部门要提高认识，精心组织。由职能专业科室指定专人，统筹工作实施与协调推进，行业主管部门与各</w:t>
      </w:r>
      <w:r>
        <w:rPr>
          <w:rFonts w:hint="eastAsia" w:ascii="仿宋_GB2312" w:eastAsia="仿宋_GB2312" w:cs="Calibri"/>
          <w:sz w:val="32"/>
          <w:szCs w:val="32"/>
        </w:rPr>
        <w:t>专营单位要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建立沟通联络、协调会商平台，确保政策要求、工程信息上传下达的及时性和有效性，强化过程管控和信息互通共享，确保“机制”高效有序实施。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（二）注重改进提升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坚持问题导向，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各专营单位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协同联办报装服务过程中，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实事求是以客户调研回访情况，检验机制落实成效；积极对接各级“放管服”改革、优化营商环境新举措，对不足之处及时改进，持续优化调整，不断提升客户满意度和获得感。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val="en-US" w:eastAsia="zh-CN"/>
        </w:rPr>
        <w:t>严守行业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</w:rPr>
        <w:t>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</w:rPr>
        <w:t>各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行业主管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</w:rPr>
        <w:t>部门及各专营单位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要严守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</w:rPr>
        <w:t>职责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eastAsia="zh-CN"/>
        </w:rPr>
        <w:t>，切实压实企业主体责任，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</w:rPr>
        <w:t>加强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对项目的事中事后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</w:rPr>
        <w:t>监督，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eastAsia="zh-CN"/>
        </w:rPr>
        <w:t>落实工程建设相关管理规定，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对不符合国家规定及未达到安全要求的，要严守安全底线，不得以服务为名放松尺度。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各专营单位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eastAsia="zh-CN"/>
        </w:rPr>
        <w:t>加强检查、记录、管理的及时性和有效性，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及时发现和纠正问题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加强经验总结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eastAsia="zh-CN"/>
        </w:rPr>
        <w:t>各水电气暖</w:t>
      </w:r>
      <w:r>
        <w:rPr>
          <w:rFonts w:hint="eastAsia" w:ascii="仿宋_GB2312" w:eastAsia="仿宋_GB2312" w:cs="Calibri"/>
          <w:sz w:val="32"/>
          <w:szCs w:val="32"/>
        </w:rPr>
        <w:t>专营单位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结合实践成果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注意挖掘机制运行中形成的新经验、好做法，报送行业主管部门；各行业主管部门要结合当前改革政策要求，做好先进经验的收集汇总与宣传推广，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扩大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企业群众对政策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措施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的知晓率，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助力我区“水电气暖”协同联办报装服务水平持续提升。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14" w:after="0" w:line="560" w:lineRule="exact"/>
        <w:ind w:right="0" w:rightChars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14" w:after="0" w:line="560" w:lineRule="exact"/>
        <w:ind w:right="0" w:rightChars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w w:val="95"/>
          <w:sz w:val="32"/>
          <w:lang w:eastAsia="zh-CN"/>
        </w:rPr>
        <w:t>“机制”</w:t>
      </w:r>
      <w:r>
        <w:rPr>
          <w:rFonts w:hint="eastAsia" w:ascii="仿宋_GB2312" w:hAnsi="仿宋_GB2312" w:eastAsia="仿宋_GB2312" w:cs="仿宋_GB2312"/>
          <w:w w:val="95"/>
          <w:sz w:val="32"/>
        </w:rPr>
        <w:t>自印发之日起实施</w:t>
      </w:r>
      <w:r>
        <w:rPr>
          <w:rFonts w:hint="eastAsia" w:ascii="仿宋_GB2312" w:hAnsi="仿宋_GB2312" w:eastAsia="仿宋_GB2312" w:cs="仿宋_GB2312"/>
          <w:w w:val="95"/>
          <w:sz w:val="32"/>
          <w:lang w:eastAsia="zh-CN"/>
        </w:rPr>
        <w:t>，有效期</w:t>
      </w:r>
      <w:r>
        <w:rPr>
          <w:rFonts w:hint="eastAsia" w:ascii="仿宋_GB2312" w:hAnsi="仿宋_GB2312" w:eastAsia="仿宋_GB2312" w:cs="仿宋_GB2312"/>
          <w:w w:val="95"/>
          <w:sz w:val="32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w w:val="95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                 2023年6月27日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（联系人：马欣    联系方式：24981330）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cs="Times New Roman" w:hAnsiTheme="majorEastAsia"/>
          <w:sz w:val="10"/>
          <w:szCs w:val="1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（此件主动公开）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438BCC"/>
    <w:multiLevelType w:val="singleLevel"/>
    <w:tmpl w:val="BF438BC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ZjA1YTUzMDM2OGY1NTQ4YTIzOTYxNGM4NmVkYjQifQ=="/>
  </w:docVars>
  <w:rsids>
    <w:rsidRoot w:val="00172A27"/>
    <w:rsid w:val="00016D84"/>
    <w:rsid w:val="000B7AC6"/>
    <w:rsid w:val="001B555B"/>
    <w:rsid w:val="001E1599"/>
    <w:rsid w:val="00297123"/>
    <w:rsid w:val="002C7B31"/>
    <w:rsid w:val="003E0B9A"/>
    <w:rsid w:val="003E38B3"/>
    <w:rsid w:val="004F7312"/>
    <w:rsid w:val="00585A69"/>
    <w:rsid w:val="00606D19"/>
    <w:rsid w:val="00633113"/>
    <w:rsid w:val="0065175A"/>
    <w:rsid w:val="00691138"/>
    <w:rsid w:val="00726901"/>
    <w:rsid w:val="0075390A"/>
    <w:rsid w:val="0087456F"/>
    <w:rsid w:val="008A31A5"/>
    <w:rsid w:val="008E519E"/>
    <w:rsid w:val="009D45CE"/>
    <w:rsid w:val="00A37497"/>
    <w:rsid w:val="00AB2D1F"/>
    <w:rsid w:val="00C11E7C"/>
    <w:rsid w:val="00C80090"/>
    <w:rsid w:val="00CA3FF9"/>
    <w:rsid w:val="00D31DB5"/>
    <w:rsid w:val="00D40EB1"/>
    <w:rsid w:val="00F154F4"/>
    <w:rsid w:val="00FA016E"/>
    <w:rsid w:val="01EE721E"/>
    <w:rsid w:val="022C3310"/>
    <w:rsid w:val="028479E4"/>
    <w:rsid w:val="029D088B"/>
    <w:rsid w:val="03AD7B3E"/>
    <w:rsid w:val="04A96381"/>
    <w:rsid w:val="0508052F"/>
    <w:rsid w:val="056C662F"/>
    <w:rsid w:val="05D00A32"/>
    <w:rsid w:val="05F741CE"/>
    <w:rsid w:val="05F82B28"/>
    <w:rsid w:val="066D1BF4"/>
    <w:rsid w:val="067F538C"/>
    <w:rsid w:val="06B145D6"/>
    <w:rsid w:val="06BD4963"/>
    <w:rsid w:val="06BF7414"/>
    <w:rsid w:val="075F150C"/>
    <w:rsid w:val="078A2F1B"/>
    <w:rsid w:val="078C7123"/>
    <w:rsid w:val="084C0243"/>
    <w:rsid w:val="08AC2D95"/>
    <w:rsid w:val="09A45B3F"/>
    <w:rsid w:val="09B14559"/>
    <w:rsid w:val="09B45F7D"/>
    <w:rsid w:val="0A1A0C15"/>
    <w:rsid w:val="0A404701"/>
    <w:rsid w:val="0B4C5037"/>
    <w:rsid w:val="0C0A26ED"/>
    <w:rsid w:val="0C210528"/>
    <w:rsid w:val="0CC93395"/>
    <w:rsid w:val="0CE57605"/>
    <w:rsid w:val="0CE776D5"/>
    <w:rsid w:val="0CF042C1"/>
    <w:rsid w:val="0D10505A"/>
    <w:rsid w:val="0D7773FD"/>
    <w:rsid w:val="0D84497A"/>
    <w:rsid w:val="0E2832A1"/>
    <w:rsid w:val="0F872C30"/>
    <w:rsid w:val="0FD516CF"/>
    <w:rsid w:val="10CF2658"/>
    <w:rsid w:val="1141368C"/>
    <w:rsid w:val="1197670F"/>
    <w:rsid w:val="11A943D7"/>
    <w:rsid w:val="11BB3B64"/>
    <w:rsid w:val="11CA58CD"/>
    <w:rsid w:val="11D811F5"/>
    <w:rsid w:val="11EC2C47"/>
    <w:rsid w:val="125836B5"/>
    <w:rsid w:val="125908F0"/>
    <w:rsid w:val="129A4C28"/>
    <w:rsid w:val="131D1B36"/>
    <w:rsid w:val="13472ABA"/>
    <w:rsid w:val="13684ABA"/>
    <w:rsid w:val="1382270E"/>
    <w:rsid w:val="1399374C"/>
    <w:rsid w:val="13AA4C16"/>
    <w:rsid w:val="13BF602E"/>
    <w:rsid w:val="15885DB8"/>
    <w:rsid w:val="15DF1783"/>
    <w:rsid w:val="15E40591"/>
    <w:rsid w:val="15E43F20"/>
    <w:rsid w:val="16685970"/>
    <w:rsid w:val="16697110"/>
    <w:rsid w:val="16961F95"/>
    <w:rsid w:val="17492A65"/>
    <w:rsid w:val="17604471"/>
    <w:rsid w:val="17916425"/>
    <w:rsid w:val="1869386B"/>
    <w:rsid w:val="18A81F5D"/>
    <w:rsid w:val="191E3FA7"/>
    <w:rsid w:val="19632D7D"/>
    <w:rsid w:val="19B64DB8"/>
    <w:rsid w:val="1A212A30"/>
    <w:rsid w:val="1A7D7CF5"/>
    <w:rsid w:val="1A9901EF"/>
    <w:rsid w:val="1ACF157C"/>
    <w:rsid w:val="1B0322CD"/>
    <w:rsid w:val="1B161D16"/>
    <w:rsid w:val="1B535A72"/>
    <w:rsid w:val="1BC0373F"/>
    <w:rsid w:val="1D024C45"/>
    <w:rsid w:val="1D0E56DE"/>
    <w:rsid w:val="1D1D21D6"/>
    <w:rsid w:val="1EC431C5"/>
    <w:rsid w:val="1EEC1A05"/>
    <w:rsid w:val="1F444026"/>
    <w:rsid w:val="1F823170"/>
    <w:rsid w:val="1FBC6176"/>
    <w:rsid w:val="20092525"/>
    <w:rsid w:val="203D7C7D"/>
    <w:rsid w:val="20516BC4"/>
    <w:rsid w:val="208E6F3E"/>
    <w:rsid w:val="215018EE"/>
    <w:rsid w:val="21F102B1"/>
    <w:rsid w:val="21F7496D"/>
    <w:rsid w:val="223D6527"/>
    <w:rsid w:val="22E26184"/>
    <w:rsid w:val="23115311"/>
    <w:rsid w:val="23504F28"/>
    <w:rsid w:val="23CC074F"/>
    <w:rsid w:val="23E80D02"/>
    <w:rsid w:val="23F12B01"/>
    <w:rsid w:val="250856CA"/>
    <w:rsid w:val="25092F92"/>
    <w:rsid w:val="251418BE"/>
    <w:rsid w:val="25180D9C"/>
    <w:rsid w:val="25425FA6"/>
    <w:rsid w:val="258E7DEA"/>
    <w:rsid w:val="264329A8"/>
    <w:rsid w:val="268E6196"/>
    <w:rsid w:val="27141329"/>
    <w:rsid w:val="271838CA"/>
    <w:rsid w:val="27B5595E"/>
    <w:rsid w:val="27E45580"/>
    <w:rsid w:val="28316638"/>
    <w:rsid w:val="28AA0016"/>
    <w:rsid w:val="28E00D2C"/>
    <w:rsid w:val="292B0ACF"/>
    <w:rsid w:val="2A9A2EB2"/>
    <w:rsid w:val="2AFB3A65"/>
    <w:rsid w:val="2AFC6660"/>
    <w:rsid w:val="2B37188B"/>
    <w:rsid w:val="2B94740F"/>
    <w:rsid w:val="2BDC2500"/>
    <w:rsid w:val="2C8569B0"/>
    <w:rsid w:val="2D376EC4"/>
    <w:rsid w:val="2D394974"/>
    <w:rsid w:val="2E867FE8"/>
    <w:rsid w:val="2ED93103"/>
    <w:rsid w:val="2F61017A"/>
    <w:rsid w:val="2F71458E"/>
    <w:rsid w:val="2FDC6BA7"/>
    <w:rsid w:val="2FF940AA"/>
    <w:rsid w:val="3054775F"/>
    <w:rsid w:val="3072566C"/>
    <w:rsid w:val="30783DBA"/>
    <w:rsid w:val="30E13FAE"/>
    <w:rsid w:val="31090DE4"/>
    <w:rsid w:val="31111DF4"/>
    <w:rsid w:val="3132344B"/>
    <w:rsid w:val="315441FC"/>
    <w:rsid w:val="319C3809"/>
    <w:rsid w:val="31A062BF"/>
    <w:rsid w:val="31BA05AF"/>
    <w:rsid w:val="32360940"/>
    <w:rsid w:val="334D55FB"/>
    <w:rsid w:val="33BC5244"/>
    <w:rsid w:val="345C715B"/>
    <w:rsid w:val="3463471C"/>
    <w:rsid w:val="35223D0A"/>
    <w:rsid w:val="36766F44"/>
    <w:rsid w:val="368B6166"/>
    <w:rsid w:val="36987B51"/>
    <w:rsid w:val="36E23B89"/>
    <w:rsid w:val="37042E08"/>
    <w:rsid w:val="37844BE6"/>
    <w:rsid w:val="37EE3930"/>
    <w:rsid w:val="387227A0"/>
    <w:rsid w:val="38B9493C"/>
    <w:rsid w:val="38DF6986"/>
    <w:rsid w:val="39724953"/>
    <w:rsid w:val="397845F2"/>
    <w:rsid w:val="3A0B7329"/>
    <w:rsid w:val="3A4D6C11"/>
    <w:rsid w:val="3A9D4378"/>
    <w:rsid w:val="3AB04877"/>
    <w:rsid w:val="3B0F50A2"/>
    <w:rsid w:val="3BCB4866"/>
    <w:rsid w:val="3C59673C"/>
    <w:rsid w:val="3CA31283"/>
    <w:rsid w:val="3CB12145"/>
    <w:rsid w:val="3D35062D"/>
    <w:rsid w:val="3D9B6CCC"/>
    <w:rsid w:val="3DA1163B"/>
    <w:rsid w:val="3DC43CA9"/>
    <w:rsid w:val="3E336092"/>
    <w:rsid w:val="3E376CA2"/>
    <w:rsid w:val="3F9E0F1A"/>
    <w:rsid w:val="3FE004FC"/>
    <w:rsid w:val="3FFA4DF4"/>
    <w:rsid w:val="400467B9"/>
    <w:rsid w:val="400473DF"/>
    <w:rsid w:val="406C7423"/>
    <w:rsid w:val="408655CA"/>
    <w:rsid w:val="4161073E"/>
    <w:rsid w:val="41BE1C1F"/>
    <w:rsid w:val="41D62E92"/>
    <w:rsid w:val="41DA69FE"/>
    <w:rsid w:val="422A3C01"/>
    <w:rsid w:val="42A51623"/>
    <w:rsid w:val="42C3517E"/>
    <w:rsid w:val="42DA304C"/>
    <w:rsid w:val="434F7A31"/>
    <w:rsid w:val="4375746C"/>
    <w:rsid w:val="43DE6DD5"/>
    <w:rsid w:val="4417700D"/>
    <w:rsid w:val="44C31C28"/>
    <w:rsid w:val="459260C9"/>
    <w:rsid w:val="45B93567"/>
    <w:rsid w:val="45BF1F73"/>
    <w:rsid w:val="45C72AFB"/>
    <w:rsid w:val="45FF3C30"/>
    <w:rsid w:val="460D1402"/>
    <w:rsid w:val="468D3AC1"/>
    <w:rsid w:val="4733289E"/>
    <w:rsid w:val="474D41AC"/>
    <w:rsid w:val="47D04049"/>
    <w:rsid w:val="48504E8D"/>
    <w:rsid w:val="486A1C26"/>
    <w:rsid w:val="48DD2CB4"/>
    <w:rsid w:val="496F2D66"/>
    <w:rsid w:val="49C32E53"/>
    <w:rsid w:val="49CF0652"/>
    <w:rsid w:val="49EF1DF8"/>
    <w:rsid w:val="49FD5C0C"/>
    <w:rsid w:val="4A1707A1"/>
    <w:rsid w:val="4AEA745A"/>
    <w:rsid w:val="4D68082A"/>
    <w:rsid w:val="4E231965"/>
    <w:rsid w:val="4E5D7F8E"/>
    <w:rsid w:val="4E926990"/>
    <w:rsid w:val="4FE566FB"/>
    <w:rsid w:val="510F060D"/>
    <w:rsid w:val="512037DA"/>
    <w:rsid w:val="513C1EA7"/>
    <w:rsid w:val="51812188"/>
    <w:rsid w:val="52436EBB"/>
    <w:rsid w:val="52567242"/>
    <w:rsid w:val="528F24B2"/>
    <w:rsid w:val="52E07346"/>
    <w:rsid w:val="52EA3503"/>
    <w:rsid w:val="53514D73"/>
    <w:rsid w:val="53B348C4"/>
    <w:rsid w:val="53B34A48"/>
    <w:rsid w:val="547C6705"/>
    <w:rsid w:val="552A73F3"/>
    <w:rsid w:val="55451FAF"/>
    <w:rsid w:val="554844D4"/>
    <w:rsid w:val="559D4500"/>
    <w:rsid w:val="55D5C88C"/>
    <w:rsid w:val="55DE51F7"/>
    <w:rsid w:val="561623FF"/>
    <w:rsid w:val="576761F5"/>
    <w:rsid w:val="57C8773A"/>
    <w:rsid w:val="57D85DD7"/>
    <w:rsid w:val="57F8676A"/>
    <w:rsid w:val="581311C7"/>
    <w:rsid w:val="58391242"/>
    <w:rsid w:val="583F46E7"/>
    <w:rsid w:val="58A4590A"/>
    <w:rsid w:val="596C6317"/>
    <w:rsid w:val="59B36F48"/>
    <w:rsid w:val="5A4925EE"/>
    <w:rsid w:val="5A5F4EFA"/>
    <w:rsid w:val="5A6257AF"/>
    <w:rsid w:val="5AD10855"/>
    <w:rsid w:val="5B9D71DB"/>
    <w:rsid w:val="5C240887"/>
    <w:rsid w:val="5C522F37"/>
    <w:rsid w:val="5C847BC2"/>
    <w:rsid w:val="5DFB0508"/>
    <w:rsid w:val="5E3520C0"/>
    <w:rsid w:val="5E6F4350"/>
    <w:rsid w:val="5EA11D18"/>
    <w:rsid w:val="5EAF7FE5"/>
    <w:rsid w:val="5F78200B"/>
    <w:rsid w:val="5F8C36EB"/>
    <w:rsid w:val="5FE3245D"/>
    <w:rsid w:val="60356BFD"/>
    <w:rsid w:val="608E0C93"/>
    <w:rsid w:val="63024C24"/>
    <w:rsid w:val="63A221CF"/>
    <w:rsid w:val="63A537F5"/>
    <w:rsid w:val="64591F3D"/>
    <w:rsid w:val="646A18D7"/>
    <w:rsid w:val="64D71D07"/>
    <w:rsid w:val="650F1C1D"/>
    <w:rsid w:val="651E0A85"/>
    <w:rsid w:val="65D151B5"/>
    <w:rsid w:val="65FF35B2"/>
    <w:rsid w:val="662B1956"/>
    <w:rsid w:val="669C464F"/>
    <w:rsid w:val="66F65316"/>
    <w:rsid w:val="676D1B5E"/>
    <w:rsid w:val="68B931BA"/>
    <w:rsid w:val="68FE2FAA"/>
    <w:rsid w:val="69AF6277"/>
    <w:rsid w:val="69E00F8E"/>
    <w:rsid w:val="69FC330E"/>
    <w:rsid w:val="6A266E2E"/>
    <w:rsid w:val="6A603FCD"/>
    <w:rsid w:val="6B2B2113"/>
    <w:rsid w:val="6B3B6738"/>
    <w:rsid w:val="6B46238C"/>
    <w:rsid w:val="6C5A5257"/>
    <w:rsid w:val="6C746FE2"/>
    <w:rsid w:val="6CAB0206"/>
    <w:rsid w:val="6CB32917"/>
    <w:rsid w:val="6CEB22C8"/>
    <w:rsid w:val="6CF65F53"/>
    <w:rsid w:val="6E445903"/>
    <w:rsid w:val="6E861012"/>
    <w:rsid w:val="6EAC67EB"/>
    <w:rsid w:val="6EBF00F4"/>
    <w:rsid w:val="6F433653"/>
    <w:rsid w:val="6FA46F05"/>
    <w:rsid w:val="6FBC4EDB"/>
    <w:rsid w:val="6FE757A6"/>
    <w:rsid w:val="704D78FF"/>
    <w:rsid w:val="715F1A54"/>
    <w:rsid w:val="71934F2C"/>
    <w:rsid w:val="72281098"/>
    <w:rsid w:val="72C9272B"/>
    <w:rsid w:val="72E0292E"/>
    <w:rsid w:val="731D2D6C"/>
    <w:rsid w:val="74612CC3"/>
    <w:rsid w:val="74FE2418"/>
    <w:rsid w:val="750C1E76"/>
    <w:rsid w:val="75AA22F7"/>
    <w:rsid w:val="760D500B"/>
    <w:rsid w:val="763950F2"/>
    <w:rsid w:val="766709D2"/>
    <w:rsid w:val="76B178AE"/>
    <w:rsid w:val="774F4D9D"/>
    <w:rsid w:val="776C4B11"/>
    <w:rsid w:val="77AB398E"/>
    <w:rsid w:val="77CB2D49"/>
    <w:rsid w:val="78450625"/>
    <w:rsid w:val="787E02BB"/>
    <w:rsid w:val="79BA7FA6"/>
    <w:rsid w:val="79BB161F"/>
    <w:rsid w:val="7A0114AE"/>
    <w:rsid w:val="7AE709B7"/>
    <w:rsid w:val="7B31720F"/>
    <w:rsid w:val="7B674E30"/>
    <w:rsid w:val="7B98703A"/>
    <w:rsid w:val="7BEA58A1"/>
    <w:rsid w:val="7C05399E"/>
    <w:rsid w:val="7CAC51D3"/>
    <w:rsid w:val="7CE035F8"/>
    <w:rsid w:val="7DBF312F"/>
    <w:rsid w:val="7F961B9F"/>
    <w:rsid w:val="7FDB174C"/>
    <w:rsid w:val="7FE91C41"/>
    <w:rsid w:val="7FF27AEC"/>
    <w:rsid w:val="F7BFD326"/>
    <w:rsid w:val="FA7DBEB5"/>
    <w:rsid w:val="FDF3AC91"/>
    <w:rsid w:val="FE5BE9D2"/>
    <w:rsid w:val="FEFEF039"/>
    <w:rsid w:val="FF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Char Char Char Char Char Char Char Char Char1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2036</Words>
  <Characters>2056</Characters>
  <Lines>22</Lines>
  <Paragraphs>6</Paragraphs>
  <TotalTime>22</TotalTime>
  <ScaleCrop>false</ScaleCrop>
  <LinksUpToDate>false</LinksUpToDate>
  <CharactersWithSpaces>2124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2020-09-08T02:11:00Z</dcterms:created>
  <dc:creator>Administrator</dc:creator>
  <cp:lastModifiedBy>美食每刻</cp:lastModifiedBy>
  <cp:lastPrinted>2023-06-27T04:14:00Z</cp:lastPrinted>
  <dcterms:modified xsi:type="dcterms:W3CDTF">2023-07-05T08:16:08Z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5D15F903C7A6447697122ABFEDAE405F</vt:lpwstr>
  </property>
</Properties>
</file>