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pPr>
      <w:bookmarkStart w:id="0" w:name="_Hlk37852042"/>
      <w:bookmarkStart w:id="1" w:name="_Toc37851671"/>
      <w:bookmarkStart w:id="2" w:name="_Toc37432681"/>
      <w:bookmarkStart w:id="3" w:name="_Toc19238"/>
      <w:bookmarkStart w:id="4" w:name="_Toc11323"/>
    </w:p>
    <w:p>
      <w:pPr>
        <w:spacing w:line="240" w:lineRule="auto"/>
        <w:ind w:firstLine="640"/>
      </w:pPr>
    </w:p>
    <w:p>
      <w:pPr>
        <w:spacing w:line="240" w:lineRule="auto"/>
        <w:ind w:firstLine="640"/>
      </w:pPr>
    </w:p>
    <w:p>
      <w:pPr>
        <w:spacing w:line="240" w:lineRule="auto"/>
        <w:ind w:firstLine="640"/>
      </w:pPr>
    </w:p>
    <w:p>
      <w:pPr>
        <w:spacing w:line="240" w:lineRule="auto"/>
        <w:ind w:firstLine="0" w:firstLineChars="0"/>
        <w:jc w:val="center"/>
        <w:rPr>
          <w:rFonts w:ascii="方正小标宋简体" w:hAnsi="黑体" w:eastAsia="方正小标宋简体" w:cs="Times New Roman"/>
          <w:b/>
          <w:sz w:val="48"/>
          <w:szCs w:val="52"/>
        </w:rPr>
      </w:pPr>
      <w:r>
        <w:rPr>
          <w:rFonts w:hint="eastAsia" w:ascii="方正小标宋简体" w:hAnsi="黑体" w:eastAsia="方正小标宋简体" w:cs="Times New Roman"/>
          <w:b/>
          <w:sz w:val="48"/>
          <w:szCs w:val="52"/>
        </w:rPr>
        <w:t>天津市东丽区“十四五”规划纲要框架</w:t>
      </w:r>
    </w:p>
    <w:p>
      <w:pPr>
        <w:spacing w:line="240" w:lineRule="auto"/>
        <w:ind w:firstLine="0" w:firstLineChars="0"/>
        <w:jc w:val="center"/>
        <w:rPr>
          <w:sz w:val="44"/>
          <w:szCs w:val="40"/>
        </w:rPr>
      </w:pPr>
      <w:r>
        <w:rPr>
          <w:rFonts w:hint="eastAsia"/>
          <w:sz w:val="44"/>
          <w:szCs w:val="40"/>
        </w:rPr>
        <w:t>（征求意见稿）</w:t>
      </w:r>
    </w:p>
    <w:p>
      <w:pPr>
        <w:spacing w:line="240" w:lineRule="auto"/>
        <w:ind w:firstLine="640"/>
      </w:pPr>
    </w:p>
    <w:p>
      <w:pPr>
        <w:spacing w:line="240" w:lineRule="auto"/>
        <w:ind w:firstLine="640"/>
      </w:pPr>
    </w:p>
    <w:p>
      <w:pPr>
        <w:spacing w:line="240" w:lineRule="auto"/>
        <w:ind w:firstLine="640"/>
      </w:pPr>
    </w:p>
    <w:p>
      <w:pPr>
        <w:spacing w:line="240" w:lineRule="auto"/>
        <w:ind w:firstLine="640"/>
      </w:pPr>
    </w:p>
    <w:p>
      <w:pPr>
        <w:spacing w:line="240" w:lineRule="auto"/>
        <w:ind w:firstLine="640"/>
      </w:pPr>
    </w:p>
    <w:p>
      <w:pPr>
        <w:spacing w:line="240" w:lineRule="auto"/>
        <w:ind w:firstLine="640"/>
      </w:pPr>
    </w:p>
    <w:p>
      <w:pPr>
        <w:spacing w:line="240" w:lineRule="auto"/>
        <w:ind w:firstLine="640"/>
      </w:pPr>
    </w:p>
    <w:p>
      <w:pPr>
        <w:spacing w:line="240" w:lineRule="auto"/>
        <w:ind w:firstLine="640"/>
      </w:pPr>
    </w:p>
    <w:p>
      <w:pPr>
        <w:spacing w:line="240" w:lineRule="auto"/>
        <w:ind w:firstLine="640"/>
      </w:pPr>
    </w:p>
    <w:p>
      <w:pPr>
        <w:spacing w:line="240" w:lineRule="auto"/>
        <w:ind w:firstLine="640"/>
      </w:pPr>
    </w:p>
    <w:p>
      <w:pPr>
        <w:spacing w:line="240" w:lineRule="auto"/>
        <w:ind w:firstLine="640"/>
      </w:pPr>
    </w:p>
    <w:p>
      <w:pPr>
        <w:ind w:firstLine="0" w:firstLineChars="0"/>
        <w:jc w:val="center"/>
        <w:rPr>
          <w:rFonts w:ascii="楷体" w:hAnsi="楷体" w:eastAsia="楷体" w:cs="Times New Roman"/>
          <w:b/>
          <w:szCs w:val="28"/>
        </w:rPr>
      </w:pPr>
      <w:r>
        <w:rPr>
          <w:rFonts w:hint="eastAsia" w:ascii="楷体" w:hAnsi="楷体" w:eastAsia="楷体" w:cs="Times New Roman"/>
          <w:b/>
          <w:szCs w:val="28"/>
        </w:rPr>
        <w:t>天津市东丽区发展和改革委员会</w:t>
      </w:r>
    </w:p>
    <w:p>
      <w:pPr>
        <w:spacing w:line="240" w:lineRule="auto"/>
        <w:ind w:firstLine="0" w:firstLineChars="0"/>
        <w:jc w:val="center"/>
        <w:rPr>
          <w:rFonts w:ascii="楷体" w:hAnsi="楷体" w:eastAsia="楷体" w:cs="Times New Roman"/>
          <w:b/>
          <w:szCs w:val="2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r>
        <w:rPr>
          <w:rFonts w:hint="eastAsia" w:ascii="楷体" w:hAnsi="楷体" w:eastAsia="楷体" w:cs="Times New Roman"/>
          <w:b/>
          <w:szCs w:val="28"/>
        </w:rPr>
        <w:t>二○二〇年</w:t>
      </w:r>
      <w:r>
        <w:rPr>
          <w:rFonts w:hint="eastAsia" w:ascii="楷体" w:hAnsi="楷体" w:eastAsia="楷体" w:cs="Times New Roman"/>
          <w:b/>
          <w:szCs w:val="28"/>
          <w:lang w:eastAsia="zh-CN"/>
        </w:rPr>
        <w:t>九</w:t>
      </w:r>
      <w:r>
        <w:rPr>
          <w:rFonts w:hint="eastAsia" w:ascii="楷体" w:hAnsi="楷体" w:eastAsia="楷体" w:cs="Times New Roman"/>
          <w:b/>
          <w:szCs w:val="28"/>
        </w:rPr>
        <w:t>月</w:t>
      </w:r>
    </w:p>
    <w:bookmarkEnd w:id="0"/>
    <w:p>
      <w:pPr>
        <w:pStyle w:val="2"/>
      </w:pPr>
      <w:bookmarkStart w:id="5" w:name="_Toc42938494"/>
      <w:bookmarkStart w:id="6" w:name="_Toc43049974"/>
      <w:bookmarkStart w:id="7" w:name="_Toc46947921"/>
      <w:bookmarkStart w:id="8" w:name="_Toc38286636"/>
      <w:bookmarkStart w:id="9" w:name="_Toc48224373"/>
      <w:bookmarkStart w:id="10" w:name="_Toc38623618"/>
      <w:bookmarkStart w:id="11" w:name="_Toc38618879"/>
      <w:bookmarkStart w:id="12" w:name="_Toc38527720"/>
      <w:bookmarkStart w:id="13" w:name="_Toc42616775"/>
      <w:r>
        <w:rPr>
          <w:rFonts w:hint="eastAsia"/>
        </w:rPr>
        <w:t>目</w:t>
      </w:r>
      <w:r>
        <w:t xml:space="preserve">  </w:t>
      </w:r>
      <w:r>
        <w:rPr>
          <w:rFonts w:hint="eastAsia"/>
        </w:rPr>
        <w:t>录</w:t>
      </w:r>
      <w:bookmarkEnd w:id="1"/>
      <w:bookmarkEnd w:id="2"/>
      <w:bookmarkEnd w:id="3"/>
      <w:bookmarkEnd w:id="4"/>
      <w:bookmarkEnd w:id="5"/>
      <w:bookmarkEnd w:id="6"/>
      <w:bookmarkEnd w:id="7"/>
      <w:bookmarkEnd w:id="8"/>
      <w:bookmarkEnd w:id="9"/>
      <w:bookmarkEnd w:id="10"/>
      <w:bookmarkEnd w:id="11"/>
      <w:bookmarkEnd w:id="12"/>
      <w:bookmarkEnd w:id="13"/>
    </w:p>
    <w:p>
      <w:pPr>
        <w:pStyle w:val="10"/>
        <w:tabs>
          <w:tab w:val="right" w:leader="dot" w:pos="8296"/>
        </w:tabs>
        <w:spacing w:line="500" w:lineRule="exact"/>
        <w:ind w:firstLine="640"/>
        <w:rPr>
          <w:rFonts w:asciiTheme="minorHAnsi" w:hAnsiTheme="minorHAnsi" w:eastAsiaTheme="minorEastAsia" w:cstheme="minorBidi"/>
          <w:sz w:val="21"/>
          <w:szCs w:val="22"/>
        </w:rPr>
      </w:pPr>
      <w:r>
        <w:rPr>
          <w:rFonts w:hint="eastAsia" w:ascii="楷体" w:hAnsi="楷体" w:eastAsia="楷体"/>
          <w:szCs w:val="32"/>
        </w:rPr>
        <w:fldChar w:fldCharType="begin"/>
      </w:r>
      <w:r>
        <w:rPr>
          <w:rFonts w:ascii="楷体" w:hAnsi="楷体" w:eastAsia="楷体"/>
          <w:szCs w:val="32"/>
        </w:rPr>
        <w:instrText xml:space="preserve"> TOC \o "1-2" \u </w:instrText>
      </w:r>
      <w:r>
        <w:rPr>
          <w:rFonts w:hint="eastAsia" w:ascii="楷体" w:hAnsi="楷体" w:eastAsia="楷体"/>
          <w:szCs w:val="32"/>
        </w:rPr>
        <w:fldChar w:fldCharType="separate"/>
      </w:r>
    </w:p>
    <w:p>
      <w:pPr>
        <w:pStyle w:val="10"/>
        <w:tabs>
          <w:tab w:val="right" w:leader="dot" w:pos="8296"/>
        </w:tabs>
        <w:spacing w:line="500" w:lineRule="exact"/>
        <w:ind w:firstLine="0" w:firstLineChars="0"/>
        <w:rPr>
          <w:rFonts w:ascii="黑体" w:hAnsi="黑体" w:eastAsia="黑体" w:cstheme="minorBidi"/>
          <w:sz w:val="21"/>
          <w:szCs w:val="22"/>
        </w:rPr>
      </w:pPr>
      <w:r>
        <w:rPr>
          <w:rFonts w:hint="eastAsia" w:ascii="黑体" w:hAnsi="黑体" w:eastAsia="黑体"/>
        </w:rPr>
        <w:t>前</w:t>
      </w:r>
      <w:r>
        <w:rPr>
          <w:rFonts w:ascii="黑体" w:hAnsi="黑体" w:eastAsia="黑体"/>
        </w:rPr>
        <w:t xml:space="preserve">  </w:t>
      </w:r>
      <w:r>
        <w:rPr>
          <w:rFonts w:hint="eastAsia" w:ascii="黑体" w:hAnsi="黑体" w:eastAsia="黑体"/>
        </w:rPr>
        <w:t>言</w:t>
      </w:r>
      <w:r>
        <w:rPr>
          <w:rFonts w:ascii="黑体" w:hAnsi="黑体" w:eastAsia="黑体"/>
        </w:rPr>
        <w:tab/>
      </w:r>
      <w:r>
        <w:rPr>
          <w:rFonts w:ascii="黑体" w:hAnsi="黑体" w:eastAsia="黑体"/>
        </w:rPr>
        <w:fldChar w:fldCharType="begin"/>
      </w:r>
      <w:r>
        <w:rPr>
          <w:rFonts w:ascii="黑体" w:hAnsi="黑体" w:eastAsia="黑体"/>
        </w:rPr>
        <w:instrText xml:space="preserve"> PAGEREF _Toc48224374 \h </w:instrText>
      </w:r>
      <w:r>
        <w:rPr>
          <w:rFonts w:ascii="黑体" w:hAnsi="黑体" w:eastAsia="黑体"/>
        </w:rPr>
        <w:fldChar w:fldCharType="separate"/>
      </w:r>
      <w:r>
        <w:rPr>
          <w:rFonts w:ascii="黑体" w:hAnsi="黑体" w:eastAsia="黑体"/>
        </w:rPr>
        <w:t>1</w:t>
      </w:r>
      <w:r>
        <w:rPr>
          <w:rFonts w:ascii="黑体" w:hAnsi="黑体" w:eastAsia="黑体"/>
        </w:rPr>
        <w:fldChar w:fldCharType="end"/>
      </w:r>
    </w:p>
    <w:p>
      <w:pPr>
        <w:pStyle w:val="10"/>
        <w:tabs>
          <w:tab w:val="right" w:leader="dot" w:pos="8296"/>
        </w:tabs>
        <w:spacing w:line="500" w:lineRule="exact"/>
        <w:ind w:firstLine="0" w:firstLineChars="0"/>
        <w:rPr>
          <w:rFonts w:ascii="黑体" w:hAnsi="黑体" w:eastAsia="黑体"/>
        </w:rPr>
      </w:pPr>
      <w:r>
        <w:rPr>
          <w:rFonts w:hint="eastAsia" w:ascii="黑体" w:hAnsi="黑体" w:eastAsia="黑体"/>
        </w:rPr>
        <w:t>第一章</w:t>
      </w:r>
      <w:r>
        <w:rPr>
          <w:rFonts w:ascii="黑体" w:hAnsi="黑体" w:eastAsia="黑体"/>
        </w:rPr>
        <w:t xml:space="preserve"> </w:t>
      </w:r>
      <w:r>
        <w:rPr>
          <w:rFonts w:hint="eastAsia" w:ascii="黑体" w:hAnsi="黑体" w:eastAsia="黑体"/>
        </w:rPr>
        <w:t>稳中有进，夯实高质量发展基础</w:t>
      </w:r>
      <w:r>
        <w:rPr>
          <w:rFonts w:ascii="黑体" w:hAnsi="黑体" w:eastAsia="黑体"/>
        </w:rPr>
        <w:tab/>
      </w:r>
      <w:r>
        <w:rPr>
          <w:rFonts w:ascii="黑体" w:hAnsi="黑体" w:eastAsia="黑体"/>
        </w:rPr>
        <w:fldChar w:fldCharType="begin"/>
      </w:r>
      <w:r>
        <w:rPr>
          <w:rFonts w:ascii="黑体" w:hAnsi="黑体" w:eastAsia="黑体"/>
        </w:rPr>
        <w:instrText xml:space="preserve"> PAGEREF _Toc48224375 \h </w:instrText>
      </w:r>
      <w:r>
        <w:rPr>
          <w:rFonts w:ascii="黑体" w:hAnsi="黑体" w:eastAsia="黑体"/>
        </w:rPr>
        <w:fldChar w:fldCharType="separate"/>
      </w:r>
      <w:r>
        <w:rPr>
          <w:rFonts w:ascii="黑体" w:hAnsi="黑体" w:eastAsia="黑体"/>
        </w:rPr>
        <w:t>2</w:t>
      </w:r>
      <w:r>
        <w:rPr>
          <w:rFonts w:ascii="黑体" w:hAnsi="黑体" w:eastAsia="黑体"/>
        </w:rPr>
        <w:fldChar w:fldCharType="end"/>
      </w:r>
    </w:p>
    <w:p>
      <w:pPr>
        <w:pStyle w:val="12"/>
        <w:spacing w:line="500" w:lineRule="exact"/>
        <w:rPr>
          <w:rFonts w:ascii="楷体" w:hAnsi="楷体" w:eastAsia="楷体"/>
          <w:bCs/>
        </w:rPr>
      </w:pPr>
      <w:r>
        <w:rPr>
          <w:rFonts w:ascii="楷体" w:hAnsi="楷体" w:eastAsia="楷体"/>
          <w:bCs/>
        </w:rPr>
        <w:t>一、“十三五”时期发展成就</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_Toc48224376 \h </w:instrText>
      </w:r>
      <w:r>
        <w:rPr>
          <w:rFonts w:ascii="楷体" w:hAnsi="楷体" w:eastAsia="楷体"/>
          <w:bCs/>
        </w:rPr>
        <w:fldChar w:fldCharType="separate"/>
      </w:r>
      <w:r>
        <w:rPr>
          <w:rFonts w:ascii="楷体" w:hAnsi="楷体" w:eastAsia="楷体"/>
          <w:bCs/>
        </w:rPr>
        <w:t>2</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二、“十四五”时期面临形势</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_Toc48224377 \h </w:instrText>
      </w:r>
      <w:r>
        <w:rPr>
          <w:rFonts w:ascii="楷体" w:hAnsi="楷体" w:eastAsia="楷体"/>
          <w:bCs/>
        </w:rPr>
        <w:fldChar w:fldCharType="separate"/>
      </w:r>
      <w:r>
        <w:rPr>
          <w:rFonts w:ascii="楷体" w:hAnsi="楷体" w:eastAsia="楷体"/>
          <w:bCs/>
        </w:rPr>
        <w:t>6</w:t>
      </w:r>
      <w:r>
        <w:rPr>
          <w:rFonts w:ascii="楷体" w:hAnsi="楷体" w:eastAsia="楷体"/>
          <w:bCs/>
        </w:rPr>
        <w:fldChar w:fldCharType="end"/>
      </w:r>
    </w:p>
    <w:p>
      <w:pPr>
        <w:pStyle w:val="10"/>
        <w:tabs>
          <w:tab w:val="right" w:leader="dot" w:pos="8296"/>
        </w:tabs>
        <w:spacing w:line="500" w:lineRule="exact"/>
        <w:ind w:firstLine="0" w:firstLineChars="0"/>
        <w:rPr>
          <w:rFonts w:ascii="黑体" w:hAnsi="黑体" w:eastAsia="黑体"/>
        </w:rPr>
      </w:pPr>
      <w:r>
        <w:rPr>
          <w:rFonts w:ascii="黑体" w:hAnsi="黑体" w:eastAsia="黑体"/>
        </w:rPr>
        <w:t>第二章 凝聚共识，谋划东丽发展新篇章</w:t>
      </w:r>
      <w:r>
        <w:rPr>
          <w:rFonts w:ascii="黑体" w:hAnsi="黑体" w:eastAsia="黑体"/>
        </w:rPr>
        <w:tab/>
      </w:r>
      <w:r>
        <w:rPr>
          <w:rFonts w:ascii="黑体" w:hAnsi="黑体" w:eastAsia="黑体"/>
        </w:rPr>
        <w:fldChar w:fldCharType="begin"/>
      </w:r>
      <w:r>
        <w:rPr>
          <w:rFonts w:ascii="黑体" w:hAnsi="黑体" w:eastAsia="黑体"/>
        </w:rPr>
        <w:instrText xml:space="preserve"> PAGEREF _Toc48224378 \h </w:instrText>
      </w:r>
      <w:r>
        <w:rPr>
          <w:rFonts w:ascii="黑体" w:hAnsi="黑体" w:eastAsia="黑体"/>
        </w:rPr>
        <w:fldChar w:fldCharType="separate"/>
      </w:r>
      <w:r>
        <w:rPr>
          <w:rFonts w:ascii="黑体" w:hAnsi="黑体" w:eastAsia="黑体"/>
        </w:rPr>
        <w:t>9</w:t>
      </w:r>
      <w:r>
        <w:rPr>
          <w:rFonts w:ascii="黑体" w:hAnsi="黑体" w:eastAsia="黑体"/>
        </w:rPr>
        <w:fldChar w:fldCharType="end"/>
      </w:r>
    </w:p>
    <w:p>
      <w:pPr>
        <w:pStyle w:val="12"/>
        <w:spacing w:line="500" w:lineRule="exact"/>
        <w:rPr>
          <w:rFonts w:ascii="楷体" w:hAnsi="楷体" w:eastAsia="楷体"/>
          <w:bCs/>
        </w:rPr>
      </w:pPr>
      <w:r>
        <w:rPr>
          <w:rFonts w:ascii="楷体" w:hAnsi="楷体" w:eastAsia="楷体"/>
          <w:bCs/>
        </w:rPr>
        <w:t>一、指导思想</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_Toc48224379 \h </w:instrText>
      </w:r>
      <w:r>
        <w:rPr>
          <w:rFonts w:ascii="楷体" w:hAnsi="楷体" w:eastAsia="楷体"/>
          <w:bCs/>
        </w:rPr>
        <w:fldChar w:fldCharType="separate"/>
      </w:r>
      <w:r>
        <w:rPr>
          <w:rFonts w:ascii="楷体" w:hAnsi="楷体" w:eastAsia="楷体"/>
          <w:bCs/>
        </w:rPr>
        <w:t>9</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二、战略定位</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_Toc48224380 \h </w:instrText>
      </w:r>
      <w:r>
        <w:rPr>
          <w:rFonts w:ascii="楷体" w:hAnsi="楷体" w:eastAsia="楷体"/>
          <w:bCs/>
        </w:rPr>
        <w:fldChar w:fldCharType="separate"/>
      </w:r>
      <w:r>
        <w:rPr>
          <w:rFonts w:ascii="楷体" w:hAnsi="楷体" w:eastAsia="楷体"/>
          <w:bCs/>
        </w:rPr>
        <w:t>11</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三、发展目标</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_Toc48224381 \h </w:instrText>
      </w:r>
      <w:r>
        <w:rPr>
          <w:rFonts w:ascii="楷体" w:hAnsi="楷体" w:eastAsia="楷体"/>
          <w:bCs/>
        </w:rPr>
        <w:fldChar w:fldCharType="separate"/>
      </w:r>
      <w:r>
        <w:rPr>
          <w:rFonts w:ascii="楷体" w:hAnsi="楷体" w:eastAsia="楷体"/>
          <w:bCs/>
        </w:rPr>
        <w:t>12</w:t>
      </w:r>
      <w:r>
        <w:rPr>
          <w:rFonts w:ascii="楷体" w:hAnsi="楷体" w:eastAsia="楷体"/>
          <w:bCs/>
        </w:rPr>
        <w:fldChar w:fldCharType="end"/>
      </w:r>
    </w:p>
    <w:p>
      <w:pPr>
        <w:pStyle w:val="10"/>
        <w:tabs>
          <w:tab w:val="right" w:leader="dot" w:pos="8296"/>
        </w:tabs>
        <w:spacing w:line="500" w:lineRule="exact"/>
        <w:ind w:firstLine="0" w:firstLineChars="0"/>
        <w:rPr>
          <w:rFonts w:ascii="黑体" w:hAnsi="黑体" w:eastAsia="黑体"/>
        </w:rPr>
      </w:pPr>
      <w:r>
        <w:rPr>
          <w:rFonts w:hint="eastAsia" w:ascii="黑体" w:hAnsi="黑体" w:eastAsia="黑体"/>
        </w:rPr>
        <w:t>第三章</w:t>
      </w:r>
      <w:r>
        <w:rPr>
          <w:rFonts w:ascii="黑体" w:hAnsi="黑体" w:eastAsia="黑体"/>
        </w:rPr>
        <w:t xml:space="preserve"> </w:t>
      </w:r>
      <w:r>
        <w:rPr>
          <w:rFonts w:hint="eastAsia" w:ascii="黑体" w:hAnsi="黑体" w:eastAsia="黑体"/>
        </w:rPr>
        <w:t>动能升级，构建高端高质产业体系</w:t>
      </w:r>
      <w:r>
        <w:rPr>
          <w:rFonts w:ascii="黑体" w:hAnsi="黑体" w:eastAsia="黑体"/>
        </w:rPr>
        <w:tab/>
      </w:r>
      <w:r>
        <w:rPr>
          <w:rFonts w:ascii="黑体" w:hAnsi="黑体" w:eastAsia="黑体"/>
        </w:rPr>
        <w:fldChar w:fldCharType="begin"/>
      </w:r>
      <w:r>
        <w:rPr>
          <w:rFonts w:ascii="黑体" w:hAnsi="黑体" w:eastAsia="黑体"/>
        </w:rPr>
        <w:instrText xml:space="preserve"> PAGEREF _Toc48224382 \h </w:instrText>
      </w:r>
      <w:r>
        <w:rPr>
          <w:rFonts w:ascii="黑体" w:hAnsi="黑体" w:eastAsia="黑体"/>
        </w:rPr>
        <w:fldChar w:fldCharType="separate"/>
      </w:r>
      <w:r>
        <w:rPr>
          <w:rFonts w:ascii="黑体" w:hAnsi="黑体" w:eastAsia="黑体"/>
        </w:rPr>
        <w:t>14</w:t>
      </w:r>
      <w:r>
        <w:rPr>
          <w:rFonts w:ascii="黑体" w:hAnsi="黑体" w:eastAsia="黑体"/>
        </w:rPr>
        <w:fldChar w:fldCharType="end"/>
      </w:r>
    </w:p>
    <w:p>
      <w:pPr>
        <w:pStyle w:val="12"/>
        <w:spacing w:line="500" w:lineRule="exact"/>
        <w:rPr>
          <w:rFonts w:ascii="楷体" w:hAnsi="楷体" w:eastAsia="楷体"/>
          <w:bCs/>
        </w:rPr>
      </w:pPr>
      <w:r>
        <w:rPr>
          <w:rFonts w:ascii="楷体" w:hAnsi="楷体" w:eastAsia="楷体"/>
          <w:bCs/>
        </w:rPr>
        <w:t>一、打造三大爆发点产业</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_Toc48224383 \h </w:instrText>
      </w:r>
      <w:r>
        <w:rPr>
          <w:rFonts w:ascii="楷体" w:hAnsi="楷体" w:eastAsia="楷体"/>
          <w:bCs/>
        </w:rPr>
        <w:fldChar w:fldCharType="separate"/>
      </w:r>
      <w:r>
        <w:rPr>
          <w:rFonts w:ascii="楷体" w:hAnsi="楷体" w:eastAsia="楷体"/>
          <w:bCs/>
        </w:rPr>
        <w:t>14</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二、转型提升一大优势产业</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_Toc48224384 \h </w:instrText>
      </w:r>
      <w:r>
        <w:rPr>
          <w:rFonts w:ascii="楷体" w:hAnsi="楷体" w:eastAsia="楷体"/>
          <w:bCs/>
        </w:rPr>
        <w:fldChar w:fldCharType="separate"/>
      </w:r>
      <w:r>
        <w:rPr>
          <w:rFonts w:ascii="楷体" w:hAnsi="楷体" w:eastAsia="楷体"/>
          <w:bCs/>
        </w:rPr>
        <w:t>16</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三、大力培育高端服务业</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_Toc48224385 \h </w:instrText>
      </w:r>
      <w:r>
        <w:rPr>
          <w:rFonts w:ascii="楷体" w:hAnsi="楷体" w:eastAsia="楷体"/>
          <w:bCs/>
        </w:rPr>
        <w:fldChar w:fldCharType="separate"/>
      </w:r>
      <w:r>
        <w:rPr>
          <w:rFonts w:ascii="楷体" w:hAnsi="楷体" w:eastAsia="楷体"/>
          <w:bCs/>
        </w:rPr>
        <w:t>17</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四、健全新经济产业服务体系</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_Toc48224386 \h </w:instrText>
      </w:r>
      <w:r>
        <w:rPr>
          <w:rFonts w:ascii="楷体" w:hAnsi="楷体" w:eastAsia="楷体"/>
          <w:bCs/>
        </w:rPr>
        <w:fldChar w:fldCharType="separate"/>
      </w:r>
      <w:r>
        <w:rPr>
          <w:rFonts w:ascii="楷体" w:hAnsi="楷体" w:eastAsia="楷体"/>
          <w:bCs/>
        </w:rPr>
        <w:t>18</w:t>
      </w:r>
      <w:r>
        <w:rPr>
          <w:rFonts w:ascii="楷体" w:hAnsi="楷体" w:eastAsia="楷体"/>
          <w:bCs/>
        </w:rPr>
        <w:fldChar w:fldCharType="end"/>
      </w:r>
    </w:p>
    <w:p>
      <w:pPr>
        <w:pStyle w:val="10"/>
        <w:tabs>
          <w:tab w:val="right" w:leader="dot" w:pos="8296"/>
        </w:tabs>
        <w:spacing w:line="500" w:lineRule="exact"/>
        <w:ind w:firstLine="0" w:firstLineChars="0"/>
        <w:rPr>
          <w:rFonts w:ascii="黑体" w:hAnsi="黑体" w:eastAsia="黑体"/>
        </w:rPr>
      </w:pPr>
      <w:r>
        <w:rPr>
          <w:rFonts w:ascii="黑体" w:hAnsi="黑体" w:eastAsia="黑体"/>
        </w:rPr>
        <w:t>第四章 创新驱动，打造创新创业生态</w:t>
      </w:r>
      <w:r>
        <w:rPr>
          <w:rFonts w:ascii="黑体" w:hAnsi="黑体" w:eastAsia="黑体"/>
        </w:rPr>
        <w:tab/>
      </w:r>
      <w:r>
        <w:rPr>
          <w:rFonts w:ascii="黑体" w:hAnsi="黑体" w:eastAsia="黑体"/>
        </w:rPr>
        <w:fldChar w:fldCharType="begin"/>
      </w:r>
      <w:r>
        <w:rPr>
          <w:rFonts w:ascii="黑体" w:hAnsi="黑体" w:eastAsia="黑体"/>
        </w:rPr>
        <w:instrText xml:space="preserve"> PAGEREF _Toc48224387 \h </w:instrText>
      </w:r>
      <w:r>
        <w:rPr>
          <w:rFonts w:ascii="黑体" w:hAnsi="黑体" w:eastAsia="黑体"/>
        </w:rPr>
        <w:fldChar w:fldCharType="separate"/>
      </w:r>
      <w:r>
        <w:rPr>
          <w:rFonts w:ascii="黑体" w:hAnsi="黑体" w:eastAsia="黑体"/>
        </w:rPr>
        <w:t>20</w:t>
      </w:r>
      <w:r>
        <w:rPr>
          <w:rFonts w:ascii="黑体" w:hAnsi="黑体" w:eastAsia="黑体"/>
        </w:rPr>
        <w:fldChar w:fldCharType="end"/>
      </w:r>
    </w:p>
    <w:p>
      <w:pPr>
        <w:pStyle w:val="12"/>
        <w:spacing w:line="500" w:lineRule="exact"/>
        <w:rPr>
          <w:rFonts w:ascii="楷体" w:hAnsi="楷体" w:eastAsia="楷体"/>
          <w:bCs/>
        </w:rPr>
      </w:pPr>
      <w:r>
        <w:rPr>
          <w:rFonts w:ascii="楷体" w:hAnsi="楷体" w:eastAsia="楷体"/>
          <w:bCs/>
        </w:rPr>
        <w:t>一、壮大创新型高科技企业群体</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_Toc48224388 \h </w:instrText>
      </w:r>
      <w:r>
        <w:rPr>
          <w:rFonts w:ascii="楷体" w:hAnsi="楷体" w:eastAsia="楷体"/>
          <w:bCs/>
        </w:rPr>
        <w:fldChar w:fldCharType="separate"/>
      </w:r>
      <w:r>
        <w:rPr>
          <w:rFonts w:ascii="楷体" w:hAnsi="楷体" w:eastAsia="楷体"/>
          <w:bCs/>
        </w:rPr>
        <w:t>20</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二、聚焦产业化促进院所提质</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_Toc48224389 \h </w:instrText>
      </w:r>
      <w:r>
        <w:rPr>
          <w:rFonts w:ascii="楷体" w:hAnsi="楷体" w:eastAsia="楷体"/>
          <w:bCs/>
        </w:rPr>
        <w:fldChar w:fldCharType="separate"/>
      </w:r>
      <w:r>
        <w:rPr>
          <w:rFonts w:ascii="楷体" w:hAnsi="楷体" w:eastAsia="楷体"/>
          <w:bCs/>
        </w:rPr>
        <w:t>22</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三、推进资源融通引导载体升级</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_Toc48224390 \h </w:instrText>
      </w:r>
      <w:r>
        <w:rPr>
          <w:rFonts w:ascii="楷体" w:hAnsi="楷体" w:eastAsia="楷体"/>
          <w:bCs/>
        </w:rPr>
        <w:fldChar w:fldCharType="separate"/>
      </w:r>
      <w:r>
        <w:rPr>
          <w:rFonts w:ascii="楷体" w:hAnsi="楷体" w:eastAsia="楷体"/>
          <w:bCs/>
        </w:rPr>
        <w:t>24</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四、提升服务效能构筑双创高地</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_Toc48224391 \h </w:instrText>
      </w:r>
      <w:r>
        <w:rPr>
          <w:rFonts w:ascii="楷体" w:hAnsi="楷体" w:eastAsia="楷体"/>
          <w:bCs/>
        </w:rPr>
        <w:fldChar w:fldCharType="separate"/>
      </w:r>
      <w:r>
        <w:rPr>
          <w:rFonts w:ascii="楷体" w:hAnsi="楷体" w:eastAsia="楷体"/>
          <w:bCs/>
        </w:rPr>
        <w:t>25</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五、积极筑巢引凤集聚高端人才</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_Toc48224392 \h </w:instrText>
      </w:r>
      <w:r>
        <w:rPr>
          <w:rFonts w:ascii="楷体" w:hAnsi="楷体" w:eastAsia="楷体"/>
          <w:bCs/>
        </w:rPr>
        <w:fldChar w:fldCharType="separate"/>
      </w:r>
      <w:r>
        <w:rPr>
          <w:rFonts w:ascii="楷体" w:hAnsi="楷体" w:eastAsia="楷体"/>
          <w:bCs/>
        </w:rPr>
        <w:t>27</w:t>
      </w:r>
      <w:r>
        <w:rPr>
          <w:rFonts w:ascii="楷体" w:hAnsi="楷体" w:eastAsia="楷体"/>
          <w:bCs/>
        </w:rPr>
        <w:fldChar w:fldCharType="end"/>
      </w:r>
    </w:p>
    <w:p>
      <w:pPr>
        <w:pStyle w:val="10"/>
        <w:tabs>
          <w:tab w:val="right" w:leader="dot" w:pos="8296"/>
        </w:tabs>
        <w:spacing w:line="500" w:lineRule="exact"/>
        <w:ind w:firstLine="0" w:firstLineChars="0"/>
        <w:rPr>
          <w:rFonts w:ascii="黑体" w:hAnsi="黑体" w:eastAsia="黑体"/>
        </w:rPr>
      </w:pPr>
      <w:r>
        <w:rPr>
          <w:rFonts w:hint="eastAsia" w:ascii="黑体" w:hAnsi="黑体" w:eastAsia="黑体"/>
        </w:rPr>
        <w:t>第五章</w:t>
      </w:r>
      <w:r>
        <w:rPr>
          <w:rFonts w:ascii="黑体" w:hAnsi="黑体" w:eastAsia="黑体"/>
        </w:rPr>
        <w:t xml:space="preserve"> </w:t>
      </w:r>
      <w:r>
        <w:rPr>
          <w:rFonts w:hint="eastAsia" w:ascii="黑体" w:hAnsi="黑体" w:eastAsia="黑体"/>
        </w:rPr>
        <w:t>品质先行，建设智慧都市新区</w:t>
      </w:r>
      <w:r>
        <w:rPr>
          <w:rFonts w:ascii="黑体" w:hAnsi="黑体" w:eastAsia="黑体"/>
        </w:rPr>
        <w:tab/>
      </w:r>
      <w:r>
        <w:rPr>
          <w:rFonts w:ascii="黑体" w:hAnsi="黑体" w:eastAsia="黑体"/>
        </w:rPr>
        <w:fldChar w:fldCharType="begin"/>
      </w:r>
      <w:r>
        <w:rPr>
          <w:rFonts w:ascii="黑体" w:hAnsi="黑体" w:eastAsia="黑体"/>
        </w:rPr>
        <w:instrText xml:space="preserve"> PAGEREF _Toc48224393 \h </w:instrText>
      </w:r>
      <w:r>
        <w:rPr>
          <w:rFonts w:ascii="黑体" w:hAnsi="黑体" w:eastAsia="黑体"/>
        </w:rPr>
        <w:fldChar w:fldCharType="separate"/>
      </w:r>
      <w:r>
        <w:rPr>
          <w:rFonts w:ascii="黑体" w:hAnsi="黑体" w:eastAsia="黑体"/>
        </w:rPr>
        <w:t>30</w:t>
      </w:r>
      <w:r>
        <w:rPr>
          <w:rFonts w:ascii="黑体" w:hAnsi="黑体" w:eastAsia="黑体"/>
        </w:rPr>
        <w:fldChar w:fldCharType="end"/>
      </w:r>
    </w:p>
    <w:p>
      <w:pPr>
        <w:pStyle w:val="12"/>
        <w:spacing w:line="500" w:lineRule="exact"/>
        <w:rPr>
          <w:rFonts w:ascii="楷体" w:hAnsi="楷体" w:eastAsia="楷体"/>
          <w:bCs/>
        </w:rPr>
      </w:pPr>
      <w:r>
        <w:rPr>
          <w:rFonts w:ascii="楷体" w:hAnsi="楷体" w:eastAsia="楷体"/>
          <w:bCs/>
        </w:rPr>
        <w:t>一、融入主城增强城市综合服务功能</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_Toc48224394 \h </w:instrText>
      </w:r>
      <w:r>
        <w:rPr>
          <w:rFonts w:ascii="楷体" w:hAnsi="楷体" w:eastAsia="楷体"/>
          <w:bCs/>
        </w:rPr>
        <w:fldChar w:fldCharType="separate"/>
      </w:r>
      <w:r>
        <w:rPr>
          <w:rFonts w:ascii="楷体" w:hAnsi="楷体" w:eastAsia="楷体"/>
          <w:bCs/>
        </w:rPr>
        <w:t>30</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二、提升城市空间品质塑造新都市风貌</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_Toc48224395 \h </w:instrText>
      </w:r>
      <w:r>
        <w:rPr>
          <w:rFonts w:ascii="楷体" w:hAnsi="楷体" w:eastAsia="楷体"/>
          <w:bCs/>
        </w:rPr>
        <w:fldChar w:fldCharType="separate"/>
      </w:r>
      <w:r>
        <w:rPr>
          <w:rFonts w:ascii="楷体" w:hAnsi="楷体" w:eastAsia="楷体"/>
          <w:bCs/>
        </w:rPr>
        <w:t>33</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三、聚焦治理短板提升城市管理水平</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_Toc48224396 \h </w:instrText>
      </w:r>
      <w:r>
        <w:rPr>
          <w:rFonts w:ascii="楷体" w:hAnsi="楷体" w:eastAsia="楷体"/>
          <w:bCs/>
        </w:rPr>
        <w:fldChar w:fldCharType="separate"/>
      </w:r>
      <w:r>
        <w:rPr>
          <w:rFonts w:ascii="楷体" w:hAnsi="楷体" w:eastAsia="楷体"/>
          <w:bCs/>
        </w:rPr>
        <w:t>36</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四、以人为核心提升全域城市化品质</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_Toc48224397 \h </w:instrText>
      </w:r>
      <w:r>
        <w:rPr>
          <w:rFonts w:ascii="楷体" w:hAnsi="楷体" w:eastAsia="楷体"/>
          <w:bCs/>
        </w:rPr>
        <w:fldChar w:fldCharType="separate"/>
      </w:r>
      <w:r>
        <w:rPr>
          <w:rFonts w:ascii="楷体" w:hAnsi="楷体" w:eastAsia="楷体"/>
          <w:bCs/>
        </w:rPr>
        <w:t>39</w:t>
      </w:r>
      <w:r>
        <w:rPr>
          <w:rFonts w:ascii="楷体" w:hAnsi="楷体" w:eastAsia="楷体"/>
          <w:bCs/>
        </w:rPr>
        <w:fldChar w:fldCharType="end"/>
      </w:r>
    </w:p>
    <w:p>
      <w:pPr>
        <w:pStyle w:val="10"/>
        <w:tabs>
          <w:tab w:val="right" w:leader="dot" w:pos="8296"/>
        </w:tabs>
        <w:spacing w:line="500" w:lineRule="exact"/>
        <w:ind w:firstLine="0" w:firstLineChars="0"/>
        <w:rPr>
          <w:rFonts w:ascii="黑体" w:hAnsi="黑体" w:eastAsia="黑体"/>
        </w:rPr>
      </w:pPr>
      <w:r>
        <w:rPr>
          <w:rFonts w:ascii="黑体" w:hAnsi="黑体" w:eastAsia="黑体"/>
        </w:rPr>
        <w:t>第六章 以人为本，增进百姓民生福祉</w:t>
      </w:r>
      <w:r>
        <w:rPr>
          <w:rFonts w:ascii="黑体" w:hAnsi="黑体" w:eastAsia="黑体"/>
        </w:rPr>
        <w:tab/>
      </w:r>
      <w:r>
        <w:rPr>
          <w:rFonts w:ascii="黑体" w:hAnsi="黑体" w:eastAsia="黑体"/>
        </w:rPr>
        <w:fldChar w:fldCharType="begin"/>
      </w:r>
      <w:r>
        <w:rPr>
          <w:rFonts w:ascii="黑体" w:hAnsi="黑体" w:eastAsia="黑体"/>
        </w:rPr>
        <w:instrText xml:space="preserve"> PAGEREF _Toc48224398 \h </w:instrText>
      </w:r>
      <w:r>
        <w:rPr>
          <w:rFonts w:ascii="黑体" w:hAnsi="黑体" w:eastAsia="黑体"/>
        </w:rPr>
        <w:fldChar w:fldCharType="separate"/>
      </w:r>
      <w:r>
        <w:rPr>
          <w:rFonts w:ascii="黑体" w:hAnsi="黑体" w:eastAsia="黑体"/>
        </w:rPr>
        <w:t>41</w:t>
      </w:r>
      <w:r>
        <w:rPr>
          <w:rFonts w:ascii="黑体" w:hAnsi="黑体" w:eastAsia="黑体"/>
        </w:rPr>
        <w:fldChar w:fldCharType="end"/>
      </w:r>
    </w:p>
    <w:p>
      <w:pPr>
        <w:pStyle w:val="12"/>
        <w:spacing w:line="500" w:lineRule="exact"/>
        <w:rPr>
          <w:rFonts w:ascii="楷体" w:hAnsi="楷体" w:eastAsia="楷体"/>
          <w:bCs/>
        </w:rPr>
      </w:pPr>
      <w:r>
        <w:rPr>
          <w:rFonts w:ascii="楷体" w:hAnsi="楷体" w:eastAsia="楷体"/>
          <w:bCs/>
        </w:rPr>
        <w:t>一、坚持优质均衡推进教育现代化</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_Toc48224399 \h </w:instrText>
      </w:r>
      <w:r>
        <w:rPr>
          <w:rFonts w:ascii="楷体" w:hAnsi="楷体" w:eastAsia="楷体"/>
          <w:bCs/>
        </w:rPr>
        <w:fldChar w:fldCharType="separate"/>
      </w:r>
      <w:r>
        <w:rPr>
          <w:rFonts w:ascii="楷体" w:hAnsi="楷体" w:eastAsia="楷体"/>
          <w:bCs/>
        </w:rPr>
        <w:t>41</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二、</w:t>
      </w:r>
      <w:r>
        <w:rPr>
          <w:rFonts w:hint="eastAsia" w:ascii="楷体" w:hAnsi="楷体" w:eastAsia="楷体"/>
          <w:bCs/>
        </w:rPr>
        <w:t>树立正确健康观建设健康东丽</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_Toc48224400 \h </w:instrText>
      </w:r>
      <w:r>
        <w:rPr>
          <w:rFonts w:ascii="楷体" w:hAnsi="楷体" w:eastAsia="楷体"/>
          <w:bCs/>
        </w:rPr>
        <w:fldChar w:fldCharType="separate"/>
      </w:r>
      <w:r>
        <w:rPr>
          <w:rFonts w:ascii="楷体" w:hAnsi="楷体" w:eastAsia="楷体"/>
          <w:bCs/>
        </w:rPr>
        <w:t>43</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三、拓展多元供给推进文体事业繁荣</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_Toc48224401 \h </w:instrText>
      </w:r>
      <w:r>
        <w:rPr>
          <w:rFonts w:ascii="楷体" w:hAnsi="楷体" w:eastAsia="楷体"/>
          <w:bCs/>
        </w:rPr>
        <w:fldChar w:fldCharType="separate"/>
      </w:r>
      <w:r>
        <w:rPr>
          <w:rFonts w:ascii="楷体" w:hAnsi="楷体" w:eastAsia="楷体"/>
          <w:bCs/>
        </w:rPr>
        <w:t>46</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四、兜牢民生底线提高民生保障水平</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_Toc48224402 \h </w:instrText>
      </w:r>
      <w:r>
        <w:rPr>
          <w:rFonts w:ascii="楷体" w:hAnsi="楷体" w:eastAsia="楷体"/>
          <w:bCs/>
        </w:rPr>
        <w:fldChar w:fldCharType="separate"/>
      </w:r>
      <w:r>
        <w:rPr>
          <w:rFonts w:ascii="楷体" w:hAnsi="楷体" w:eastAsia="楷体"/>
          <w:bCs/>
        </w:rPr>
        <w:t>47</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五、千方百计促进更高质量充分就业</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_Toc48224403 \h </w:instrText>
      </w:r>
      <w:r>
        <w:rPr>
          <w:rFonts w:ascii="楷体" w:hAnsi="楷体" w:eastAsia="楷体"/>
          <w:bCs/>
        </w:rPr>
        <w:fldChar w:fldCharType="separate"/>
      </w:r>
      <w:r>
        <w:rPr>
          <w:rFonts w:ascii="楷体" w:hAnsi="楷体" w:eastAsia="楷体"/>
          <w:bCs/>
        </w:rPr>
        <w:t>49</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六、创新服务模式提升养老服务品质</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_Toc48224404 \h </w:instrText>
      </w:r>
      <w:r>
        <w:rPr>
          <w:rFonts w:ascii="楷体" w:hAnsi="楷体" w:eastAsia="楷体"/>
          <w:bCs/>
        </w:rPr>
        <w:fldChar w:fldCharType="separate"/>
      </w:r>
      <w:r>
        <w:rPr>
          <w:rFonts w:ascii="楷体" w:hAnsi="楷体" w:eastAsia="楷体"/>
          <w:bCs/>
        </w:rPr>
        <w:t>50</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七、加强人口管理释放“人口红利”</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_Toc48224405 \h </w:instrText>
      </w:r>
      <w:r>
        <w:rPr>
          <w:rFonts w:ascii="楷体" w:hAnsi="楷体" w:eastAsia="楷体"/>
          <w:bCs/>
        </w:rPr>
        <w:fldChar w:fldCharType="separate"/>
      </w:r>
      <w:r>
        <w:rPr>
          <w:rFonts w:ascii="楷体" w:hAnsi="楷体" w:eastAsia="楷体"/>
          <w:bCs/>
        </w:rPr>
        <w:t>52</w:t>
      </w:r>
      <w:r>
        <w:rPr>
          <w:rFonts w:ascii="楷体" w:hAnsi="楷体" w:eastAsia="楷体"/>
          <w:bCs/>
        </w:rPr>
        <w:fldChar w:fldCharType="end"/>
      </w:r>
    </w:p>
    <w:p>
      <w:pPr>
        <w:pStyle w:val="10"/>
        <w:tabs>
          <w:tab w:val="right" w:leader="dot" w:pos="8296"/>
        </w:tabs>
        <w:spacing w:line="500" w:lineRule="exact"/>
        <w:ind w:firstLine="0" w:firstLineChars="0"/>
        <w:rPr>
          <w:rFonts w:ascii="黑体" w:hAnsi="黑体" w:eastAsia="黑体"/>
        </w:rPr>
      </w:pPr>
      <w:r>
        <w:rPr>
          <w:rFonts w:ascii="黑体" w:hAnsi="黑体" w:eastAsia="黑体"/>
        </w:rPr>
        <w:t>第七章 绿色发展，构筑</w:t>
      </w:r>
      <w:r>
        <w:rPr>
          <w:rFonts w:hint="eastAsia" w:ascii="黑体" w:hAnsi="黑体" w:eastAsia="黑体"/>
        </w:rPr>
        <w:t>都市</w:t>
      </w:r>
      <w:r>
        <w:rPr>
          <w:rFonts w:ascii="黑体" w:hAnsi="黑体" w:eastAsia="黑体"/>
        </w:rPr>
        <w:t>生态</w:t>
      </w:r>
      <w:r>
        <w:rPr>
          <w:rFonts w:hint="eastAsia" w:ascii="黑体" w:hAnsi="黑体" w:eastAsia="黑体"/>
        </w:rPr>
        <w:t>高地</w:t>
      </w:r>
      <w:r>
        <w:rPr>
          <w:rFonts w:ascii="黑体" w:hAnsi="黑体" w:eastAsia="黑体"/>
        </w:rPr>
        <w:tab/>
      </w:r>
      <w:r>
        <w:rPr>
          <w:rFonts w:ascii="黑体" w:hAnsi="黑体" w:eastAsia="黑体"/>
        </w:rPr>
        <w:fldChar w:fldCharType="begin"/>
      </w:r>
      <w:r>
        <w:rPr>
          <w:rFonts w:ascii="黑体" w:hAnsi="黑体" w:eastAsia="黑体"/>
        </w:rPr>
        <w:instrText xml:space="preserve"> PAGEREF _Toc48224406 \h </w:instrText>
      </w:r>
      <w:r>
        <w:rPr>
          <w:rFonts w:ascii="黑体" w:hAnsi="黑体" w:eastAsia="黑体"/>
        </w:rPr>
        <w:fldChar w:fldCharType="separate"/>
      </w:r>
      <w:r>
        <w:rPr>
          <w:rFonts w:ascii="黑体" w:hAnsi="黑体" w:eastAsia="黑体"/>
        </w:rPr>
        <w:t>55</w:t>
      </w:r>
      <w:r>
        <w:rPr>
          <w:rFonts w:ascii="黑体" w:hAnsi="黑体" w:eastAsia="黑体"/>
        </w:rPr>
        <w:fldChar w:fldCharType="end"/>
      </w:r>
    </w:p>
    <w:p>
      <w:pPr>
        <w:pStyle w:val="12"/>
        <w:spacing w:line="500" w:lineRule="exact"/>
        <w:rPr>
          <w:rFonts w:ascii="楷体" w:hAnsi="楷体" w:eastAsia="楷体"/>
          <w:bCs/>
        </w:rPr>
      </w:pPr>
      <w:r>
        <w:rPr>
          <w:rFonts w:ascii="楷体" w:hAnsi="楷体" w:eastAsia="楷体"/>
          <w:bCs/>
        </w:rPr>
        <w:t>一、筑牢绿色屏障打造生态新风貌</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_Toc48224407 \h </w:instrText>
      </w:r>
      <w:r>
        <w:rPr>
          <w:rFonts w:ascii="楷体" w:hAnsi="楷体" w:eastAsia="楷体"/>
          <w:bCs/>
        </w:rPr>
        <w:fldChar w:fldCharType="separate"/>
      </w:r>
      <w:r>
        <w:rPr>
          <w:rFonts w:ascii="楷体" w:hAnsi="楷体" w:eastAsia="楷体"/>
          <w:bCs/>
        </w:rPr>
        <w:t>55</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二、深化源头防控构建绿色生产体系</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_Toc48224408 \h </w:instrText>
      </w:r>
      <w:r>
        <w:rPr>
          <w:rFonts w:ascii="楷体" w:hAnsi="楷体" w:eastAsia="楷体"/>
          <w:bCs/>
        </w:rPr>
        <w:fldChar w:fldCharType="separate"/>
      </w:r>
      <w:r>
        <w:rPr>
          <w:rFonts w:ascii="楷体" w:hAnsi="楷体" w:eastAsia="楷体"/>
          <w:bCs/>
        </w:rPr>
        <w:t>56</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三、弘扬生态文化培育绿色生活方式</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_Toc48224409 \h </w:instrText>
      </w:r>
      <w:r>
        <w:rPr>
          <w:rFonts w:ascii="楷体" w:hAnsi="楷体" w:eastAsia="楷体"/>
          <w:bCs/>
        </w:rPr>
        <w:fldChar w:fldCharType="separate"/>
      </w:r>
      <w:r>
        <w:rPr>
          <w:rFonts w:ascii="楷体" w:hAnsi="楷体" w:eastAsia="楷体"/>
          <w:bCs/>
        </w:rPr>
        <w:t>57</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四、坚持铁腕治污严防严控环境污染</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_Toc48224410 \h </w:instrText>
      </w:r>
      <w:r>
        <w:rPr>
          <w:rFonts w:ascii="楷体" w:hAnsi="楷体" w:eastAsia="楷体"/>
          <w:bCs/>
        </w:rPr>
        <w:fldChar w:fldCharType="separate"/>
      </w:r>
      <w:r>
        <w:rPr>
          <w:rFonts w:ascii="楷体" w:hAnsi="楷体" w:eastAsia="楷体"/>
          <w:bCs/>
        </w:rPr>
        <w:t>58</w:t>
      </w:r>
      <w:r>
        <w:rPr>
          <w:rFonts w:ascii="楷体" w:hAnsi="楷体" w:eastAsia="楷体"/>
          <w:bCs/>
        </w:rPr>
        <w:fldChar w:fldCharType="end"/>
      </w:r>
    </w:p>
    <w:p>
      <w:pPr>
        <w:pStyle w:val="10"/>
        <w:tabs>
          <w:tab w:val="right" w:leader="dot" w:pos="8296"/>
        </w:tabs>
        <w:spacing w:line="500" w:lineRule="exact"/>
        <w:ind w:firstLine="0" w:firstLineChars="0"/>
        <w:rPr>
          <w:rFonts w:ascii="黑体" w:hAnsi="黑体" w:eastAsia="黑体"/>
        </w:rPr>
      </w:pPr>
      <w:r>
        <w:rPr>
          <w:rFonts w:ascii="黑体" w:hAnsi="黑体" w:eastAsia="黑体"/>
        </w:rPr>
        <w:t>第八章 改革开放，增强区域发展活力</w:t>
      </w:r>
      <w:r>
        <w:rPr>
          <w:rFonts w:ascii="黑体" w:hAnsi="黑体" w:eastAsia="黑体"/>
        </w:rPr>
        <w:tab/>
      </w:r>
      <w:r>
        <w:rPr>
          <w:rFonts w:ascii="黑体" w:hAnsi="黑体" w:eastAsia="黑体"/>
        </w:rPr>
        <w:fldChar w:fldCharType="begin"/>
      </w:r>
      <w:r>
        <w:rPr>
          <w:rFonts w:ascii="黑体" w:hAnsi="黑体" w:eastAsia="黑体"/>
        </w:rPr>
        <w:instrText xml:space="preserve"> PAGEREF _Toc48224411 \h </w:instrText>
      </w:r>
      <w:r>
        <w:rPr>
          <w:rFonts w:ascii="黑体" w:hAnsi="黑体" w:eastAsia="黑体"/>
        </w:rPr>
        <w:fldChar w:fldCharType="separate"/>
      </w:r>
      <w:r>
        <w:rPr>
          <w:rFonts w:ascii="黑体" w:hAnsi="黑体" w:eastAsia="黑体"/>
        </w:rPr>
        <w:t>60</w:t>
      </w:r>
      <w:r>
        <w:rPr>
          <w:rFonts w:ascii="黑体" w:hAnsi="黑体" w:eastAsia="黑体"/>
        </w:rPr>
        <w:fldChar w:fldCharType="end"/>
      </w:r>
    </w:p>
    <w:p>
      <w:pPr>
        <w:pStyle w:val="12"/>
        <w:spacing w:line="500" w:lineRule="exact"/>
        <w:rPr>
          <w:rFonts w:ascii="楷体" w:hAnsi="楷体" w:eastAsia="楷体"/>
          <w:bCs/>
        </w:rPr>
      </w:pPr>
      <w:r>
        <w:rPr>
          <w:rFonts w:ascii="楷体" w:hAnsi="楷体" w:eastAsia="楷体"/>
          <w:bCs/>
        </w:rPr>
        <w:t>一、大力建设人民满意的服务型政府</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_Toc48224412 \h </w:instrText>
      </w:r>
      <w:r>
        <w:rPr>
          <w:rFonts w:ascii="楷体" w:hAnsi="楷体" w:eastAsia="楷体"/>
          <w:bCs/>
        </w:rPr>
        <w:fldChar w:fldCharType="separate"/>
      </w:r>
      <w:r>
        <w:rPr>
          <w:rFonts w:ascii="楷体" w:hAnsi="楷体" w:eastAsia="楷体"/>
          <w:bCs/>
        </w:rPr>
        <w:t>60</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二、优化社会治理和公共服务制度体系</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_Toc48224413 \h </w:instrText>
      </w:r>
      <w:r>
        <w:rPr>
          <w:rFonts w:ascii="楷体" w:hAnsi="楷体" w:eastAsia="楷体"/>
          <w:bCs/>
        </w:rPr>
        <w:fldChar w:fldCharType="separate"/>
      </w:r>
      <w:r>
        <w:rPr>
          <w:rFonts w:ascii="楷体" w:hAnsi="楷体" w:eastAsia="楷体"/>
          <w:bCs/>
        </w:rPr>
        <w:t>61</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三、推进京津冀协同发展向纵深拓展</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_Toc48224414 \h </w:instrText>
      </w:r>
      <w:r>
        <w:rPr>
          <w:rFonts w:ascii="楷体" w:hAnsi="楷体" w:eastAsia="楷体"/>
          <w:bCs/>
        </w:rPr>
        <w:fldChar w:fldCharType="separate"/>
      </w:r>
      <w:r>
        <w:rPr>
          <w:rFonts w:ascii="楷体" w:hAnsi="楷体" w:eastAsia="楷体"/>
          <w:bCs/>
        </w:rPr>
        <w:t>63</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四、高端链接全国新经济发展高地</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_Toc48224415 \h </w:instrText>
      </w:r>
      <w:r>
        <w:rPr>
          <w:rFonts w:ascii="楷体" w:hAnsi="楷体" w:eastAsia="楷体"/>
          <w:bCs/>
        </w:rPr>
        <w:fldChar w:fldCharType="separate"/>
      </w:r>
      <w:r>
        <w:rPr>
          <w:rFonts w:ascii="楷体" w:hAnsi="楷体" w:eastAsia="楷体"/>
          <w:bCs/>
        </w:rPr>
        <w:t>66</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五、借力自贸区提升对外开放水平</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_Toc48224416 \h </w:instrText>
      </w:r>
      <w:r>
        <w:rPr>
          <w:rFonts w:ascii="楷体" w:hAnsi="楷体" w:eastAsia="楷体"/>
          <w:bCs/>
        </w:rPr>
        <w:fldChar w:fldCharType="separate"/>
      </w:r>
      <w:r>
        <w:rPr>
          <w:rFonts w:ascii="楷体" w:hAnsi="楷体" w:eastAsia="楷体"/>
          <w:bCs/>
        </w:rPr>
        <w:t>67</w:t>
      </w:r>
      <w:r>
        <w:rPr>
          <w:rFonts w:ascii="楷体" w:hAnsi="楷体" w:eastAsia="楷体"/>
          <w:bCs/>
        </w:rPr>
        <w:fldChar w:fldCharType="end"/>
      </w:r>
    </w:p>
    <w:p>
      <w:pPr>
        <w:pStyle w:val="12"/>
        <w:spacing w:line="500" w:lineRule="exact"/>
        <w:ind w:leftChars="0" w:hanging="640" w:hangingChars="200"/>
        <w:jc w:val="left"/>
        <w:rPr>
          <w:rFonts w:ascii="楷体" w:hAnsi="楷体" w:eastAsia="楷体"/>
          <w:bCs/>
        </w:rPr>
      </w:pPr>
      <w:r>
        <w:rPr>
          <w:rFonts w:hint="eastAsia" w:ascii="黑体" w:eastAsia="黑体"/>
        </w:rPr>
        <w:t>第九章</w:t>
      </w:r>
      <w:r>
        <w:rPr>
          <w:rFonts w:ascii="黑体" w:eastAsia="黑体"/>
        </w:rPr>
        <w:t xml:space="preserve"> </w:t>
      </w:r>
      <w:r>
        <w:rPr>
          <w:rFonts w:hint="eastAsia" w:ascii="黑体" w:eastAsia="黑体"/>
        </w:rPr>
        <w:t>加强保障，确保规划高效落实</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_Toc48224417 \h </w:instrText>
      </w:r>
      <w:r>
        <w:rPr>
          <w:rFonts w:ascii="楷体" w:hAnsi="楷体" w:eastAsia="楷体"/>
          <w:bCs/>
        </w:rPr>
        <w:fldChar w:fldCharType="separate"/>
      </w:r>
      <w:r>
        <w:rPr>
          <w:rFonts w:ascii="楷体" w:hAnsi="楷体" w:eastAsia="楷体"/>
          <w:bCs/>
        </w:rPr>
        <w:t>69</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一、强化组织保障</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_Toc48224418 \h </w:instrText>
      </w:r>
      <w:r>
        <w:rPr>
          <w:rFonts w:ascii="楷体" w:hAnsi="楷体" w:eastAsia="楷体"/>
          <w:bCs/>
        </w:rPr>
        <w:fldChar w:fldCharType="separate"/>
      </w:r>
      <w:r>
        <w:rPr>
          <w:rFonts w:ascii="楷体" w:hAnsi="楷体" w:eastAsia="楷体"/>
          <w:bCs/>
        </w:rPr>
        <w:t>69</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二、加大资金投入</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_Toc48224419 \h </w:instrText>
      </w:r>
      <w:r>
        <w:rPr>
          <w:rFonts w:ascii="楷体" w:hAnsi="楷体" w:eastAsia="楷体"/>
          <w:bCs/>
        </w:rPr>
        <w:fldChar w:fldCharType="separate"/>
      </w:r>
      <w:r>
        <w:rPr>
          <w:rFonts w:ascii="楷体" w:hAnsi="楷体" w:eastAsia="楷体"/>
          <w:bCs/>
        </w:rPr>
        <w:t>70</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三、健全政策体系</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_Toc48224420 \h </w:instrText>
      </w:r>
      <w:r>
        <w:rPr>
          <w:rFonts w:ascii="楷体" w:hAnsi="楷体" w:eastAsia="楷体"/>
          <w:bCs/>
        </w:rPr>
        <w:fldChar w:fldCharType="separate"/>
      </w:r>
      <w:r>
        <w:rPr>
          <w:rFonts w:ascii="楷体" w:hAnsi="楷体" w:eastAsia="楷体"/>
          <w:bCs/>
        </w:rPr>
        <w:t>70</w:t>
      </w:r>
      <w:r>
        <w:rPr>
          <w:rFonts w:ascii="楷体" w:hAnsi="楷体" w:eastAsia="楷体"/>
          <w:bCs/>
        </w:rPr>
        <w:fldChar w:fldCharType="end"/>
      </w:r>
    </w:p>
    <w:p>
      <w:pPr>
        <w:pStyle w:val="12"/>
        <w:spacing w:line="500" w:lineRule="exact"/>
        <w:rPr>
          <w:rFonts w:ascii="楷体" w:hAnsi="楷体" w:eastAsia="楷体"/>
          <w:bCs/>
        </w:rPr>
      </w:pPr>
      <w:r>
        <w:rPr>
          <w:rFonts w:ascii="楷体" w:hAnsi="楷体" w:eastAsia="楷体"/>
          <w:bCs/>
        </w:rPr>
        <w:t>四、加强项目支撑</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_Toc48224421 \h </w:instrText>
      </w:r>
      <w:r>
        <w:rPr>
          <w:rFonts w:ascii="楷体" w:hAnsi="楷体" w:eastAsia="楷体"/>
          <w:bCs/>
        </w:rPr>
        <w:fldChar w:fldCharType="separate"/>
      </w:r>
      <w:r>
        <w:rPr>
          <w:rFonts w:ascii="楷体" w:hAnsi="楷体" w:eastAsia="楷体"/>
          <w:bCs/>
        </w:rPr>
        <w:t>71</w:t>
      </w:r>
      <w:r>
        <w:rPr>
          <w:rFonts w:ascii="楷体" w:hAnsi="楷体" w:eastAsia="楷体"/>
          <w:bCs/>
        </w:rPr>
        <w:fldChar w:fldCharType="end"/>
      </w:r>
    </w:p>
    <w:p>
      <w:pPr>
        <w:pStyle w:val="10"/>
        <w:tabs>
          <w:tab w:val="right" w:leader="dot" w:pos="8296"/>
        </w:tabs>
        <w:spacing w:line="500" w:lineRule="exact"/>
        <w:ind w:firstLine="0" w:firstLineChars="0"/>
        <w:rPr>
          <w:rFonts w:ascii="黑体" w:hAnsi="黑体" w:eastAsia="黑体"/>
        </w:rPr>
      </w:pPr>
      <w:r>
        <w:rPr>
          <w:rFonts w:hint="eastAsia" w:ascii="黑体" w:hAnsi="黑体" w:eastAsia="黑体"/>
        </w:rPr>
        <w:t>附件一</w:t>
      </w:r>
      <w:r>
        <w:rPr>
          <w:rFonts w:ascii="黑体" w:hAnsi="黑体" w:eastAsia="黑体"/>
        </w:rPr>
        <w:t xml:space="preserve"> </w:t>
      </w:r>
      <w:r>
        <w:rPr>
          <w:rFonts w:hint="eastAsia" w:ascii="黑体" w:hAnsi="黑体" w:eastAsia="黑体"/>
        </w:rPr>
        <w:t>东丽区</w:t>
      </w:r>
      <w:r>
        <w:rPr>
          <w:rFonts w:ascii="黑体" w:hAnsi="黑体" w:eastAsia="黑体"/>
        </w:rPr>
        <w:t>“</w:t>
      </w:r>
      <w:r>
        <w:rPr>
          <w:rFonts w:hint="eastAsia" w:ascii="黑体" w:hAnsi="黑体" w:eastAsia="黑体"/>
        </w:rPr>
        <w:t>十四五</w:t>
      </w:r>
      <w:r>
        <w:rPr>
          <w:rFonts w:ascii="黑体" w:hAnsi="黑体" w:eastAsia="黑体"/>
        </w:rPr>
        <w:t>”</w:t>
      </w:r>
      <w:r>
        <w:rPr>
          <w:rFonts w:hint="eastAsia" w:ascii="黑体" w:hAnsi="黑体" w:eastAsia="黑体"/>
        </w:rPr>
        <w:t>时期经济和社会发展指标体系</w:t>
      </w:r>
      <w:r>
        <w:rPr>
          <w:rFonts w:ascii="黑体" w:hAnsi="黑体" w:eastAsia="黑体"/>
        </w:rPr>
        <w:tab/>
      </w:r>
      <w:r>
        <w:rPr>
          <w:rFonts w:ascii="黑体" w:hAnsi="黑体" w:eastAsia="黑体"/>
        </w:rPr>
        <w:fldChar w:fldCharType="begin"/>
      </w:r>
      <w:r>
        <w:rPr>
          <w:rFonts w:ascii="黑体" w:hAnsi="黑体" w:eastAsia="黑体"/>
        </w:rPr>
        <w:instrText xml:space="preserve"> PAGEREF _Toc48224422 \h </w:instrText>
      </w:r>
      <w:r>
        <w:rPr>
          <w:rFonts w:ascii="黑体" w:hAnsi="黑体" w:eastAsia="黑体"/>
        </w:rPr>
        <w:fldChar w:fldCharType="separate"/>
      </w:r>
      <w:r>
        <w:rPr>
          <w:rFonts w:ascii="黑体" w:hAnsi="黑体" w:eastAsia="黑体"/>
        </w:rPr>
        <w:t>72</w:t>
      </w:r>
      <w:r>
        <w:rPr>
          <w:rFonts w:ascii="黑体" w:hAnsi="黑体" w:eastAsia="黑体"/>
        </w:rPr>
        <w:fldChar w:fldCharType="end"/>
      </w:r>
    </w:p>
    <w:p>
      <w:pPr>
        <w:pStyle w:val="10"/>
        <w:tabs>
          <w:tab w:val="right" w:leader="dot" w:pos="8296"/>
        </w:tabs>
        <w:spacing w:line="500" w:lineRule="exact"/>
        <w:ind w:firstLine="0" w:firstLineChars="0"/>
        <w:rPr>
          <w:rFonts w:ascii="楷体" w:hAnsi="楷体" w:eastAsia="楷体"/>
          <w:bCs/>
        </w:rPr>
      </w:pPr>
      <w:r>
        <w:rPr>
          <w:rFonts w:hint="eastAsia" w:ascii="黑体" w:hAnsi="黑体" w:eastAsia="黑体"/>
        </w:rPr>
        <w:t>附件二</w:t>
      </w:r>
      <w:r>
        <w:rPr>
          <w:rFonts w:ascii="黑体" w:hAnsi="黑体" w:eastAsia="黑体"/>
        </w:rPr>
        <w:t xml:space="preserve"> </w:t>
      </w:r>
      <w:r>
        <w:rPr>
          <w:rFonts w:hint="eastAsia" w:ascii="黑体" w:hAnsi="黑体" w:eastAsia="黑体"/>
        </w:rPr>
        <w:t>东丽区</w:t>
      </w:r>
      <w:r>
        <w:rPr>
          <w:rFonts w:ascii="黑体" w:hAnsi="黑体" w:eastAsia="黑体"/>
        </w:rPr>
        <w:t>“</w:t>
      </w:r>
      <w:r>
        <w:rPr>
          <w:rFonts w:hint="eastAsia" w:ascii="黑体" w:hAnsi="黑体" w:eastAsia="黑体"/>
        </w:rPr>
        <w:t>十四五</w:t>
      </w:r>
      <w:r>
        <w:rPr>
          <w:rFonts w:ascii="黑体" w:hAnsi="黑体" w:eastAsia="黑体"/>
        </w:rPr>
        <w:t>”</w:t>
      </w:r>
      <w:r>
        <w:rPr>
          <w:rFonts w:hint="eastAsia" w:ascii="黑体" w:hAnsi="黑体" w:eastAsia="黑体"/>
        </w:rPr>
        <w:t>时期重点工作和重大项目清单</w:t>
      </w:r>
      <w:r>
        <w:rPr>
          <w:rFonts w:ascii="楷体" w:hAnsi="楷体" w:eastAsia="楷体"/>
          <w:bCs/>
        </w:rPr>
        <w:tab/>
      </w:r>
      <w:r>
        <w:rPr>
          <w:rFonts w:ascii="楷体" w:hAnsi="楷体" w:eastAsia="楷体"/>
          <w:bCs/>
        </w:rPr>
        <w:fldChar w:fldCharType="begin"/>
      </w:r>
      <w:r>
        <w:rPr>
          <w:rFonts w:ascii="楷体" w:hAnsi="楷体" w:eastAsia="楷体"/>
          <w:bCs/>
        </w:rPr>
        <w:instrText xml:space="preserve"> PAGEREF _Toc48224423 \h </w:instrText>
      </w:r>
      <w:r>
        <w:rPr>
          <w:rFonts w:ascii="楷体" w:hAnsi="楷体" w:eastAsia="楷体"/>
          <w:bCs/>
        </w:rPr>
        <w:fldChar w:fldCharType="separate"/>
      </w:r>
      <w:r>
        <w:rPr>
          <w:rFonts w:ascii="楷体" w:hAnsi="楷体" w:eastAsia="楷体"/>
          <w:bCs/>
        </w:rPr>
        <w:t>75</w:t>
      </w:r>
      <w:r>
        <w:rPr>
          <w:rFonts w:ascii="楷体" w:hAnsi="楷体" w:eastAsia="楷体"/>
          <w:bCs/>
        </w:rPr>
        <w:fldChar w:fldCharType="end"/>
      </w:r>
    </w:p>
    <w:p>
      <w:pPr>
        <w:pStyle w:val="10"/>
        <w:tabs>
          <w:tab w:val="right" w:leader="dot" w:pos="8296"/>
        </w:tabs>
        <w:spacing w:line="500" w:lineRule="exact"/>
        <w:ind w:firstLine="0" w:firstLineChars="0"/>
        <w:rPr>
          <w:rFonts w:ascii="黑体" w:hAnsi="黑体" w:eastAsia="黑体"/>
        </w:rPr>
      </w:pPr>
      <w:r>
        <w:rPr>
          <w:rFonts w:hint="eastAsia" w:ascii="黑体" w:hAnsi="黑体" w:eastAsia="黑体"/>
        </w:rPr>
        <w:t>附件三</w:t>
      </w:r>
      <w:r>
        <w:rPr>
          <w:rFonts w:ascii="黑体" w:hAnsi="黑体" w:eastAsia="黑体"/>
        </w:rPr>
        <w:t xml:space="preserve"> </w:t>
      </w:r>
      <w:r>
        <w:rPr>
          <w:rFonts w:hint="eastAsia" w:ascii="黑体" w:hAnsi="黑体" w:eastAsia="黑体"/>
        </w:rPr>
        <w:t>东丽区</w:t>
      </w:r>
      <w:r>
        <w:rPr>
          <w:rFonts w:ascii="黑体" w:hAnsi="黑体" w:eastAsia="黑体"/>
        </w:rPr>
        <w:t>“</w:t>
      </w:r>
      <w:r>
        <w:rPr>
          <w:rFonts w:hint="eastAsia" w:ascii="黑体" w:hAnsi="黑体" w:eastAsia="黑体"/>
        </w:rPr>
        <w:t>十四五</w:t>
      </w:r>
      <w:r>
        <w:rPr>
          <w:rFonts w:ascii="黑体" w:hAnsi="黑体" w:eastAsia="黑体"/>
        </w:rPr>
        <w:t>”</w:t>
      </w:r>
      <w:r>
        <w:rPr>
          <w:rFonts w:hint="eastAsia" w:ascii="黑体" w:hAnsi="黑体" w:eastAsia="黑体"/>
        </w:rPr>
        <w:t>规划纲要重要名词解释</w:t>
      </w:r>
      <w:r>
        <w:rPr>
          <w:rFonts w:ascii="黑体" w:hAnsi="黑体" w:eastAsia="黑体"/>
        </w:rPr>
        <w:tab/>
      </w:r>
      <w:r>
        <w:rPr>
          <w:rFonts w:ascii="黑体" w:hAnsi="黑体" w:eastAsia="黑体"/>
        </w:rPr>
        <w:fldChar w:fldCharType="begin"/>
      </w:r>
      <w:r>
        <w:rPr>
          <w:rFonts w:ascii="黑体" w:hAnsi="黑体" w:eastAsia="黑体"/>
        </w:rPr>
        <w:instrText xml:space="preserve"> PAGEREF _Toc48224424 \h </w:instrText>
      </w:r>
      <w:r>
        <w:rPr>
          <w:rFonts w:ascii="黑体" w:hAnsi="黑体" w:eastAsia="黑体"/>
        </w:rPr>
        <w:fldChar w:fldCharType="separate"/>
      </w:r>
      <w:r>
        <w:rPr>
          <w:rFonts w:ascii="黑体" w:hAnsi="黑体" w:eastAsia="黑体"/>
        </w:rPr>
        <w:t>81</w:t>
      </w:r>
      <w:r>
        <w:rPr>
          <w:rFonts w:ascii="黑体" w:hAnsi="黑体" w:eastAsia="黑体"/>
        </w:rPr>
        <w:fldChar w:fldCharType="end"/>
      </w:r>
    </w:p>
    <w:p>
      <w:pPr>
        <w:pStyle w:val="12"/>
        <w:tabs>
          <w:tab w:val="right" w:leader="dot" w:pos="8306"/>
          <w:tab w:val="clear" w:pos="8296"/>
        </w:tabs>
        <w:spacing w:line="500" w:lineRule="exact"/>
        <w:ind w:leftChars="0" w:hanging="640" w:hangingChars="200"/>
        <w:sectPr>
          <w:footerReference r:id="rId11" w:type="default"/>
          <w:pgSz w:w="11906" w:h="16838"/>
          <w:pgMar w:top="1440" w:right="1800" w:bottom="1440" w:left="1800" w:header="851" w:footer="992" w:gutter="0"/>
          <w:pgNumType w:fmt="upperRoman" w:start="1"/>
          <w:cols w:space="425" w:num="1"/>
          <w:docGrid w:type="lines" w:linePitch="312" w:charSpace="0"/>
        </w:sectPr>
      </w:pPr>
      <w:r>
        <w:rPr>
          <w:rFonts w:hint="eastAsia" w:ascii="楷体" w:hAnsi="楷体" w:eastAsia="楷体" w:cs="Times New Roman"/>
          <w:szCs w:val="32"/>
        </w:rPr>
        <w:fldChar w:fldCharType="end"/>
      </w:r>
    </w:p>
    <w:p>
      <w:pPr>
        <w:pStyle w:val="2"/>
      </w:pPr>
      <w:bookmarkStart w:id="14" w:name="_Toc48224374"/>
      <w:r>
        <w:rPr>
          <w:rFonts w:hint="eastAsia"/>
        </w:rPr>
        <w:t>前</w:t>
      </w:r>
      <w:r>
        <w:t xml:space="preserve">  </w:t>
      </w:r>
      <w:r>
        <w:rPr>
          <w:rFonts w:hint="eastAsia"/>
        </w:rPr>
        <w:t>言</w:t>
      </w:r>
      <w:bookmarkEnd w:id="14"/>
    </w:p>
    <w:p>
      <w:pPr>
        <w:ind w:firstLine="640"/>
      </w:pPr>
    </w:p>
    <w:p>
      <w:pPr>
        <w:ind w:firstLine="640"/>
      </w:pPr>
      <w:r>
        <w:rPr>
          <w:rFonts w:hint="eastAsia"/>
        </w:rPr>
        <w:t>“十三五”时期是东丽区全面建成高质量小康社会的决胜五年，</w:t>
      </w:r>
      <w:r>
        <w:rPr>
          <w:rFonts w:hint="eastAsia"/>
          <w:szCs w:val="32"/>
        </w:rPr>
        <w:t>在市委、市政府的正确领导下，</w:t>
      </w:r>
      <w:r>
        <w:rPr>
          <w:rFonts w:hint="eastAsia"/>
        </w:rPr>
        <w:t>东丽区攻坚克难、砥砺前行，积极推进经济社会深度调整，加快推动新旧动能接续转换，各项工作取得明显进展。“十四五”时期，是我国“两个一百年”奋斗目标的历史交汇期，</w:t>
      </w:r>
      <w:r>
        <w:rPr>
          <w:rFonts w:hint="eastAsia" w:ascii="等线" w:hAnsi="等线"/>
        </w:rPr>
        <w:t>是天津市加快建设“一基地三区”</w:t>
      </w:r>
      <w:r>
        <w:rPr>
          <w:rFonts w:ascii="等线" w:hAnsi="等线"/>
        </w:rPr>
        <w:t>的</w:t>
      </w:r>
      <w:r>
        <w:rPr>
          <w:rFonts w:hint="eastAsia" w:ascii="等线" w:hAnsi="等线"/>
        </w:rPr>
        <w:t>关键阶段，也是东丽区实现创新驱动绿色高质量发展的关键突破期、全面提升城市品质的重要攻坚期</w:t>
      </w:r>
      <w:r>
        <w:rPr>
          <w:rFonts w:hint="eastAsia"/>
        </w:rPr>
        <w:t>。谋划好“十四五”发展蓝图，对于我区融入新时代、把握新机遇、应对国内外错综复杂形势挑战具有重要意义，对于我区落实全市新动能引育计划，在全市乃至全国发展格局中提升区域发展能级和核心竞争力至关重要。</w:t>
      </w:r>
    </w:p>
    <w:p>
      <w:pPr>
        <w:ind w:firstLine="624"/>
        <w:rPr>
          <w:rFonts w:hint="eastAsia" w:ascii="仿宋_GB2312" w:hAnsi="仿宋" w:cs="Times New Roman"/>
          <w:spacing w:val="-4"/>
          <w:kern w:val="0"/>
          <w:szCs w:val="32"/>
        </w:rPr>
      </w:pPr>
      <w:bookmarkStart w:id="284" w:name="_GoBack"/>
      <w:r>
        <w:rPr>
          <w:rFonts w:hint="eastAsia" w:ascii="仿宋_GB2312" w:hAnsi="仿宋" w:cs="Times New Roman"/>
          <w:spacing w:val="-4"/>
          <w:kern w:val="0"/>
          <w:szCs w:val="32"/>
        </w:rPr>
        <w:t>本规划编制的主要依据是：《中共中央关于制定国民经济和社会发展第十四个五年规划的建议》、《中共天津市委关于制定天津市国民经济和社会发展第十四个五年规划的建议》、《中共天津市东丽区委关于制定天津市东丽区国民经济和社会发展第十四个五年规划纲要的建议》等</w:t>
      </w:r>
      <w:r>
        <w:rPr>
          <w:rFonts w:hint="eastAsia" w:ascii="仿宋_GB2312" w:hAnsi="仿宋" w:cs="Times New Roman"/>
          <w:spacing w:val="-4"/>
          <w:kern w:val="0"/>
          <w:szCs w:val="32"/>
        </w:rPr>
        <w:t>。本纲要是编制东丽区国土空间规划和各类专项规划的重要依据，是指导东丽区“十四五”时期各项工作的行动纲领。</w:t>
      </w:r>
    </w:p>
    <w:bookmarkEnd w:id="284"/>
    <w:p>
      <w:pPr>
        <w:ind w:firstLine="624"/>
        <w:rPr>
          <w:rFonts w:ascii="黑体" w:hAnsi="黑体" w:eastAsia="黑体" w:cs="Times New Roman"/>
          <w:b/>
          <w:spacing w:val="-4"/>
          <w:kern w:val="44"/>
          <w:sz w:val="36"/>
          <w:szCs w:val="36"/>
        </w:rPr>
      </w:pPr>
      <w:r>
        <w:rPr>
          <w:rFonts w:hint="eastAsia" w:ascii="仿宋_GB2312" w:hAnsi="仿宋" w:cs="Times New Roman"/>
          <w:spacing w:val="-4"/>
          <w:kern w:val="0"/>
          <w:szCs w:val="32"/>
        </w:rPr>
        <w:t>本规划范围为张贵庄、丰年村、无瑕、万新、新立、华明、军粮城、金钟、金桥、东丽湖、华新</w:t>
      </w:r>
      <w:r>
        <w:rPr>
          <w:rFonts w:cs="Times New Roman"/>
          <w:spacing w:val="-4"/>
          <w:kern w:val="0"/>
          <w:szCs w:val="32"/>
        </w:rPr>
        <w:t>11</w:t>
      </w:r>
      <w:r>
        <w:rPr>
          <w:rFonts w:ascii="仿宋_GB2312" w:hAnsi="仿宋" w:cs="Times New Roman"/>
          <w:spacing w:val="-4"/>
          <w:kern w:val="0"/>
          <w:szCs w:val="32"/>
        </w:rPr>
        <w:t>个街道</w:t>
      </w:r>
      <w:r>
        <w:rPr>
          <w:rFonts w:hint="eastAsia" w:ascii="仿宋_GB2312" w:hAnsi="仿宋" w:cs="Times New Roman"/>
          <w:spacing w:val="-4"/>
          <w:kern w:val="0"/>
          <w:szCs w:val="32"/>
        </w:rPr>
        <w:t>，以及</w:t>
      </w:r>
      <w:r>
        <w:rPr>
          <w:rFonts w:ascii="仿宋_GB2312" w:hAnsi="仿宋" w:cs="Times New Roman"/>
          <w:spacing w:val="-4"/>
          <w:kern w:val="0"/>
          <w:szCs w:val="32"/>
        </w:rPr>
        <w:t>东丽经济技术开发区</w:t>
      </w:r>
      <w:r>
        <w:rPr>
          <w:rFonts w:hint="eastAsia" w:ascii="仿宋_GB2312" w:hAnsi="仿宋" w:cs="Times New Roman"/>
          <w:spacing w:val="-4"/>
          <w:kern w:val="0"/>
          <w:szCs w:val="32"/>
        </w:rPr>
        <w:t>和临空经济区</w:t>
      </w:r>
      <w:r>
        <w:rPr>
          <w:rFonts w:ascii="仿宋_GB2312" w:hAnsi="仿宋" w:cs="Times New Roman"/>
          <w:spacing w:val="-4"/>
          <w:kern w:val="0"/>
          <w:szCs w:val="32"/>
        </w:rPr>
        <w:t>，共计</w:t>
      </w:r>
      <w:r>
        <w:rPr>
          <w:rFonts w:cs="Times New Roman"/>
          <w:spacing w:val="-4"/>
          <w:kern w:val="0"/>
          <w:szCs w:val="32"/>
        </w:rPr>
        <w:t>339</w:t>
      </w:r>
      <w:r>
        <w:rPr>
          <w:rFonts w:hint="eastAsia" w:ascii="仿宋_GB2312" w:hAnsi="仿宋" w:cs="Times New Roman"/>
          <w:spacing w:val="-4"/>
          <w:kern w:val="0"/>
          <w:szCs w:val="32"/>
        </w:rPr>
        <w:t>平方公里。规划期限为</w:t>
      </w:r>
      <w:r>
        <w:rPr>
          <w:rFonts w:cs="Times New Roman"/>
          <w:spacing w:val="-4"/>
          <w:kern w:val="0"/>
          <w:szCs w:val="32"/>
        </w:rPr>
        <w:t>2021</w:t>
      </w:r>
      <w:r>
        <w:rPr>
          <w:rFonts w:ascii="仿宋_GB2312" w:hAnsi="仿宋" w:cs="Times New Roman"/>
          <w:spacing w:val="-4"/>
          <w:kern w:val="0"/>
          <w:szCs w:val="32"/>
        </w:rPr>
        <w:t>-</w:t>
      </w:r>
      <w:r>
        <w:rPr>
          <w:rFonts w:cs="Times New Roman"/>
          <w:spacing w:val="-4"/>
          <w:kern w:val="0"/>
          <w:szCs w:val="32"/>
        </w:rPr>
        <w:t>2025</w:t>
      </w:r>
      <w:r>
        <w:rPr>
          <w:rFonts w:hint="eastAsia" w:ascii="仿宋_GB2312" w:hAnsi="仿宋" w:cs="Times New Roman"/>
          <w:spacing w:val="-4"/>
          <w:kern w:val="0"/>
          <w:szCs w:val="32"/>
        </w:rPr>
        <w:t>年。</w:t>
      </w:r>
      <w:r>
        <w:br w:type="page"/>
      </w:r>
    </w:p>
    <w:p>
      <w:pPr>
        <w:pStyle w:val="2"/>
      </w:pPr>
      <w:bookmarkStart w:id="15" w:name="_Toc48224375"/>
      <w:r>
        <w:rPr>
          <w:rFonts w:hint="eastAsia"/>
        </w:rPr>
        <w:t>第一章</w:t>
      </w:r>
      <w:r>
        <w:t xml:space="preserve"> </w:t>
      </w:r>
      <w:r>
        <w:rPr>
          <w:rFonts w:hint="eastAsia"/>
        </w:rPr>
        <w:t>稳中有进，夯实高质量发展基础</w:t>
      </w:r>
      <w:bookmarkEnd w:id="15"/>
    </w:p>
    <w:p>
      <w:pPr>
        <w:pStyle w:val="3"/>
      </w:pPr>
      <w:bookmarkStart w:id="16" w:name="_Toc48224376"/>
      <w:r>
        <w:rPr>
          <w:rFonts w:hint="eastAsia"/>
        </w:rPr>
        <w:t>一、“十三五”时期发展回顾</w:t>
      </w:r>
    </w:p>
    <w:p>
      <w:pPr>
        <w:pStyle w:val="3"/>
      </w:pPr>
      <w:r>
        <w:rPr>
          <w:rFonts w:hint="eastAsia"/>
        </w:rPr>
        <w:t>（一）发展成就</w:t>
      </w:r>
    </w:p>
    <w:p>
      <w:pPr>
        <w:ind w:firstLine="640"/>
        <w:rPr>
          <w:snapToGrid w:val="0"/>
        </w:rPr>
      </w:pPr>
      <w:r>
        <w:rPr>
          <w:snapToGrid w:val="0"/>
        </w:rPr>
        <w:t>2016</w:t>
      </w:r>
      <w:r>
        <w:rPr>
          <w:rFonts w:hint="eastAsia"/>
          <w:snapToGrid w:val="0"/>
        </w:rPr>
        <w:t>年以来，东丽区深入落实“一二三五六”工作思路，奋力推进绿色高质量发展，经济体量稳步增长，产业结构不断优化，全域城市化建设取得阶段性成果，新旧动能转换成效初显，</w:t>
      </w:r>
      <w:r>
        <w:rPr>
          <w:rFonts w:hint="eastAsia"/>
          <w:szCs w:val="32"/>
        </w:rPr>
        <w:t>高质量小康社会全面建成。东丽区</w:t>
      </w:r>
      <w:r>
        <w:rPr>
          <w:rFonts w:hint="eastAsia"/>
          <w:snapToGrid w:val="0"/>
        </w:rPr>
        <w:t>“十三五”规划主要目标任务基本完成，为“十四五”发展奠定了坚实基础。</w:t>
      </w:r>
    </w:p>
    <w:p>
      <w:pPr>
        <w:ind w:firstLine="643"/>
        <w:rPr>
          <w:rFonts w:ascii="仿宋_GB2312" w:hAnsi="仿宋"/>
          <w:szCs w:val="32"/>
        </w:rPr>
      </w:pPr>
      <w:r>
        <w:rPr>
          <w:rFonts w:hint="eastAsia" w:ascii="仿宋_GB2312" w:hAnsi="仿宋"/>
          <w:b/>
          <w:bCs/>
          <w:szCs w:val="32"/>
        </w:rPr>
        <w:t>大力推进绿色高质量发展，动能转换成效初显。</w:t>
      </w:r>
      <w:r>
        <w:rPr>
          <w:rFonts w:hint="eastAsia" w:ascii="仿宋_GB2312"/>
          <w:kern w:val="0"/>
          <w:szCs w:val="32"/>
        </w:rPr>
        <w:t>坚持新发展理念，</w:t>
      </w:r>
      <w:r>
        <w:rPr>
          <w:rFonts w:hint="eastAsia" w:ascii="仿宋_GB2312" w:hAnsi="仿宋"/>
          <w:szCs w:val="32"/>
        </w:rPr>
        <w:t>奋力推进绿色高质量发展，组织院所评估促进科研机构提质增效，强化创新引领；开展精准招商推进优质项目落地，夯实项目支撑；推进全域城市化安居工程建设，落实富民惠民目标。新动能主体力量不断增强，国家级高新技术企业数较“十二五”末年增长逾两倍</w:t>
      </w:r>
      <w:r>
        <w:rPr>
          <w:rFonts w:ascii="仿宋_GB2312" w:hAnsi="仿宋"/>
          <w:szCs w:val="32"/>
        </w:rPr>
        <w:t>；民营经济主体活力提升，</w:t>
      </w:r>
      <w:r>
        <w:rPr>
          <w:szCs w:val="32"/>
        </w:rPr>
        <w:t>2019</w:t>
      </w:r>
      <w:r>
        <w:rPr>
          <w:rFonts w:hint="eastAsia" w:ascii="仿宋_GB2312" w:hAnsi="仿宋"/>
          <w:szCs w:val="32"/>
        </w:rPr>
        <w:t>年实现民营经济增加值</w:t>
      </w:r>
      <w:r>
        <w:rPr>
          <w:szCs w:val="32"/>
        </w:rPr>
        <w:t>268</w:t>
      </w:r>
      <w:r>
        <w:rPr>
          <w:rFonts w:ascii="仿宋_GB2312" w:hAnsi="仿宋"/>
          <w:szCs w:val="32"/>
        </w:rPr>
        <w:t>.</w:t>
      </w:r>
      <w:r>
        <w:rPr>
          <w:szCs w:val="32"/>
        </w:rPr>
        <w:t>12</w:t>
      </w:r>
      <w:r>
        <w:rPr>
          <w:rFonts w:hint="eastAsia" w:ascii="仿宋_GB2312" w:hAnsi="仿宋"/>
          <w:szCs w:val="32"/>
        </w:rPr>
        <w:t>亿元；院所孵化成效显著提高，引育了清智科技、中航装甲、中科检验等具有上市和爆发式成长潜力的创新企业。旧动能转型升级取得突破，淘汰落后产能工作扎实推进，完成了</w:t>
      </w:r>
      <w:r>
        <w:rPr>
          <w:szCs w:val="32"/>
        </w:rPr>
        <w:t>2317</w:t>
      </w:r>
      <w:r>
        <w:rPr>
          <w:rFonts w:ascii="仿宋_GB2312" w:hAnsi="仿宋"/>
          <w:szCs w:val="32"/>
        </w:rPr>
        <w:t>家“散乱污”企业治理和</w:t>
      </w:r>
      <w:r>
        <w:rPr>
          <w:szCs w:val="32"/>
        </w:rPr>
        <w:t>26</w:t>
      </w:r>
      <w:r>
        <w:rPr>
          <w:rFonts w:ascii="仿宋_GB2312" w:hAnsi="仿宋"/>
          <w:szCs w:val="32"/>
        </w:rPr>
        <w:t>个园区综合整治任务；国有企业混合所有制改革顺利进行，天钢集团成功重组，钢管集团完成混改。</w:t>
      </w:r>
    </w:p>
    <w:p>
      <w:pPr>
        <w:ind w:firstLine="643"/>
        <w:rPr>
          <w:rFonts w:ascii="仿宋_GB2312" w:hAnsi="仿宋"/>
          <w:szCs w:val="32"/>
        </w:rPr>
      </w:pPr>
      <w:r>
        <w:rPr>
          <w:rFonts w:hint="eastAsia" w:ascii="仿宋_GB2312" w:hAnsi="仿宋"/>
          <w:b/>
          <w:bCs/>
          <w:szCs w:val="32"/>
        </w:rPr>
        <w:t>持续优化产业发展结构，新兴业态加速涌现。</w:t>
      </w:r>
      <w:r>
        <w:rPr>
          <w:rFonts w:hint="eastAsia" w:ascii="仿宋_GB2312" w:hAnsi="仿宋"/>
          <w:szCs w:val="32"/>
        </w:rPr>
        <w:t>大力发展战略性新兴产业，促进服务业新经济集聚发展，形成以战略性新兴产业和现代服务业为主的产业结构；</w:t>
      </w:r>
      <w:r>
        <w:rPr>
          <w:rFonts w:hint="eastAsia"/>
        </w:rPr>
        <w:t>做出“决胜临空”重要决策，打造都市临空经济区</w:t>
      </w:r>
      <w:r>
        <w:rPr>
          <w:rFonts w:hint="eastAsia" w:ascii="仿宋_GB2312" w:hAnsi="仿宋"/>
          <w:szCs w:val="32"/>
        </w:rPr>
        <w:t>，构建临空经济产业体系。产业发展质量进一步提升，</w:t>
      </w:r>
      <w:r>
        <w:rPr>
          <w:rFonts w:cs="Times New Roman"/>
          <w:szCs w:val="32"/>
        </w:rPr>
        <w:t>2019</w:t>
      </w:r>
      <w:r>
        <w:rPr>
          <w:rFonts w:hint="eastAsia" w:ascii="仿宋_GB2312" w:cs="Times New Roman"/>
          <w:szCs w:val="32"/>
        </w:rPr>
        <w:t>年</w:t>
      </w:r>
      <w:r>
        <w:rPr>
          <w:rFonts w:hint="eastAsia" w:ascii="仿宋_GB2312" w:hAnsi="仿宋"/>
          <w:szCs w:val="32"/>
        </w:rPr>
        <w:t>实现规模以上工业总产值</w:t>
      </w:r>
      <w:r>
        <w:rPr>
          <w:szCs w:val="32"/>
        </w:rPr>
        <w:t>816</w:t>
      </w:r>
      <w:r>
        <w:rPr>
          <w:rFonts w:ascii="仿宋_GB2312" w:hAnsi="仿宋"/>
          <w:szCs w:val="32"/>
        </w:rPr>
        <w:t>.</w:t>
      </w:r>
      <w:r>
        <w:rPr>
          <w:szCs w:val="32"/>
        </w:rPr>
        <w:t>4</w:t>
      </w:r>
      <w:r>
        <w:rPr>
          <w:rFonts w:hint="eastAsia" w:ascii="仿宋_GB2312" w:hAnsi="仿宋"/>
          <w:szCs w:val="32"/>
        </w:rPr>
        <w:t>亿元，规模以上工业战略性新兴企业产值</w:t>
      </w:r>
      <w:r>
        <w:rPr>
          <w:szCs w:val="32"/>
        </w:rPr>
        <w:t>130</w:t>
      </w:r>
      <w:r>
        <w:rPr>
          <w:rFonts w:ascii="仿宋_GB2312" w:hAnsi="仿宋"/>
          <w:szCs w:val="32"/>
        </w:rPr>
        <w:t>.</w:t>
      </w:r>
      <w:r>
        <w:rPr>
          <w:szCs w:val="32"/>
        </w:rPr>
        <w:t>4</w:t>
      </w:r>
      <w:r>
        <w:rPr>
          <w:rFonts w:hint="eastAsia" w:ascii="仿宋_GB2312" w:hAnsi="仿宋"/>
          <w:szCs w:val="32"/>
        </w:rPr>
        <w:t>亿元，服务业增加值</w:t>
      </w:r>
      <w:r>
        <w:rPr>
          <w:szCs w:val="32"/>
        </w:rPr>
        <w:t>385</w:t>
      </w:r>
      <w:r>
        <w:rPr>
          <w:rFonts w:ascii="仿宋_GB2312" w:hAnsi="仿宋"/>
          <w:szCs w:val="32"/>
        </w:rPr>
        <w:t>.</w:t>
      </w:r>
      <w:r>
        <w:rPr>
          <w:szCs w:val="32"/>
        </w:rPr>
        <w:t>95</w:t>
      </w:r>
      <w:r>
        <w:rPr>
          <w:rFonts w:ascii="仿宋_GB2312" w:hAnsi="仿宋"/>
          <w:szCs w:val="32"/>
        </w:rPr>
        <w:t>亿元，</w:t>
      </w:r>
      <w:r>
        <w:rPr>
          <w:rFonts w:hint="eastAsia" w:ascii="仿宋_GB2312" w:cs="Times New Roman"/>
          <w:szCs w:val="32"/>
        </w:rPr>
        <w:t>服务业增加值占比达到</w:t>
      </w:r>
      <w:r>
        <w:rPr>
          <w:rFonts w:cs="Times New Roman"/>
          <w:szCs w:val="32"/>
        </w:rPr>
        <w:t>59</w:t>
      </w:r>
      <w:r>
        <w:rPr>
          <w:rFonts w:ascii="仿宋_GB2312" w:cs="Times New Roman"/>
          <w:szCs w:val="32"/>
        </w:rPr>
        <w:t>%</w:t>
      </w:r>
      <w:r>
        <w:rPr>
          <w:rFonts w:hint="eastAsia" w:ascii="仿宋_GB2312" w:cs="Times New Roman"/>
          <w:szCs w:val="32"/>
        </w:rPr>
        <w:t>。新业态新模式不断涌现，依托科研院所等创新主体技术研发和平台资源优势，</w:t>
      </w:r>
      <w:r>
        <w:rPr>
          <w:rFonts w:hint="eastAsia" w:ascii="仿宋_GB2312" w:hAnsi="仿宋"/>
          <w:szCs w:val="32"/>
        </w:rPr>
        <w:t>涌现了智能网联汽车、工业机器人、体外诊断设备等新业态；知识产权、检验检测等科技服务领域成为服务业发展新亮点，跨境电商、现代物流等高端服务业初具规模。</w:t>
      </w:r>
    </w:p>
    <w:p>
      <w:pPr>
        <w:ind w:firstLine="643"/>
        <w:rPr>
          <w:rFonts w:ascii="仿宋_GB2312" w:hAnsi="仿宋"/>
          <w:szCs w:val="32"/>
        </w:rPr>
      </w:pPr>
      <w:r>
        <w:rPr>
          <w:rFonts w:hint="eastAsia" w:ascii="仿宋_GB2312" w:hAnsi="仿宋"/>
          <w:b/>
          <w:bCs/>
          <w:szCs w:val="32"/>
        </w:rPr>
        <w:t>聚焦科技成果转移转化，创新驱动发展成效显著。</w:t>
      </w:r>
      <w:r>
        <w:rPr>
          <w:rFonts w:hint="eastAsia" w:ascii="仿宋_GB2312" w:hAnsi="仿宋"/>
          <w:szCs w:val="32"/>
        </w:rPr>
        <w:t>围绕科技成果转移转化全链条，从创新源头、创新主体和创新服务等方面重点发力，强化科技创新对经济发展的支撑作用。推进创新源头引育</w:t>
      </w:r>
      <w:r>
        <w:rPr>
          <w:rFonts w:ascii="仿宋_GB2312" w:hAnsi="仿宋"/>
          <w:szCs w:val="32"/>
        </w:rPr>
        <w:t>，</w:t>
      </w:r>
      <w:r>
        <w:rPr>
          <w:rFonts w:hint="eastAsia" w:ascii="仿宋_GB2312" w:hAnsi="仿宋"/>
          <w:szCs w:val="32"/>
        </w:rPr>
        <w:t>建设中科院天津创新产业园运营平台，开展院所评估提高科研机构发展质量和效益，</w:t>
      </w:r>
      <w:r>
        <w:rPr>
          <w:szCs w:val="32"/>
        </w:rPr>
        <w:t>2019</w:t>
      </w:r>
      <w:r>
        <w:rPr>
          <w:rFonts w:ascii="仿宋_GB2312" w:hAnsi="仿宋"/>
          <w:szCs w:val="32"/>
        </w:rPr>
        <w:t>年</w:t>
      </w:r>
      <w:r>
        <w:rPr>
          <w:rFonts w:hint="eastAsia" w:ascii="仿宋_GB2312" w:hAnsi="仿宋"/>
          <w:szCs w:val="32"/>
        </w:rPr>
        <w:t>完成科技成果转化</w:t>
      </w:r>
      <w:r>
        <w:rPr>
          <w:rFonts w:ascii="仿宋_GB2312" w:hAnsi="仿宋"/>
          <w:szCs w:val="32"/>
        </w:rPr>
        <w:t>23项</w:t>
      </w:r>
      <w:r>
        <w:rPr>
          <w:rFonts w:hint="eastAsia" w:ascii="仿宋_GB2312" w:hAnsi="仿宋"/>
          <w:szCs w:val="32"/>
        </w:rPr>
        <w:t>。加强创新主体培育，率先实施高企倍增计划，全面推进科技型企业梯度培育，国家级高新技术企业达</w:t>
      </w:r>
      <w:r>
        <w:rPr>
          <w:szCs w:val="32"/>
        </w:rPr>
        <w:t>323</w:t>
      </w:r>
      <w:r>
        <w:rPr>
          <w:rFonts w:ascii="仿宋_GB2312" w:hAnsi="仿宋"/>
          <w:szCs w:val="32"/>
        </w:rPr>
        <w:t>家</w:t>
      </w:r>
      <w:r>
        <w:rPr>
          <w:rFonts w:hint="eastAsia" w:ascii="仿宋_GB2312" w:hAnsi="仿宋"/>
          <w:szCs w:val="32"/>
        </w:rPr>
        <w:t>，新增入库国家科技型中小企业</w:t>
      </w:r>
      <w:r>
        <w:rPr>
          <w:szCs w:val="32"/>
        </w:rPr>
        <w:t>432</w:t>
      </w:r>
      <w:r>
        <w:rPr>
          <w:rFonts w:ascii="仿宋_GB2312" w:hAnsi="仿宋"/>
          <w:szCs w:val="32"/>
        </w:rPr>
        <w:t>家</w:t>
      </w:r>
      <w:r>
        <w:rPr>
          <w:rFonts w:hint="eastAsia" w:ascii="仿宋_GB2312" w:hAnsi="仿宋"/>
          <w:szCs w:val="32"/>
        </w:rPr>
        <w:t>、</w:t>
      </w:r>
      <w:r>
        <w:rPr>
          <w:rFonts w:ascii="仿宋_GB2312" w:hAnsi="仿宋"/>
          <w:szCs w:val="32"/>
        </w:rPr>
        <w:t>天津市雏鹰企业</w:t>
      </w:r>
      <w:r>
        <w:rPr>
          <w:szCs w:val="32"/>
        </w:rPr>
        <w:t>102</w:t>
      </w:r>
      <w:r>
        <w:rPr>
          <w:rFonts w:ascii="仿宋_GB2312" w:hAnsi="仿宋"/>
          <w:szCs w:val="32"/>
        </w:rPr>
        <w:t>家</w:t>
      </w:r>
      <w:r>
        <w:rPr>
          <w:rFonts w:hint="eastAsia" w:ascii="仿宋_GB2312" w:hAnsi="仿宋"/>
          <w:szCs w:val="32"/>
        </w:rPr>
        <w:t>、</w:t>
      </w:r>
      <w:r>
        <w:rPr>
          <w:rFonts w:ascii="仿宋_GB2312" w:hAnsi="仿宋"/>
          <w:szCs w:val="32"/>
        </w:rPr>
        <w:t>瞪羚企业</w:t>
      </w:r>
      <w:r>
        <w:rPr>
          <w:szCs w:val="32"/>
        </w:rPr>
        <w:t>18</w:t>
      </w:r>
      <w:r>
        <w:rPr>
          <w:rFonts w:ascii="仿宋_GB2312" w:hAnsi="仿宋"/>
          <w:szCs w:val="32"/>
        </w:rPr>
        <w:t>家。完善创新服务体系，聚焦“六有”标准提升</w:t>
      </w:r>
      <w:r>
        <w:rPr>
          <w:rFonts w:hint="eastAsia" w:ascii="仿宋_GB2312" w:hAnsi="仿宋"/>
          <w:szCs w:val="32"/>
        </w:rPr>
        <w:t>双创</w:t>
      </w:r>
      <w:r>
        <w:rPr>
          <w:rFonts w:ascii="仿宋_GB2312" w:hAnsi="仿宋"/>
          <w:szCs w:val="32"/>
        </w:rPr>
        <w:t>载体，获财政部和科技部批复打造</w:t>
      </w:r>
      <w:r>
        <w:rPr>
          <w:rFonts w:hint="eastAsia" w:ascii="仿宋_GB2312" w:hAnsi="仿宋"/>
          <w:szCs w:val="32"/>
        </w:rPr>
        <w:t>科技资源支撑型</w:t>
      </w:r>
      <w:r>
        <w:rPr>
          <w:rFonts w:ascii="仿宋_GB2312" w:hAnsi="仿宋"/>
          <w:szCs w:val="32"/>
        </w:rPr>
        <w:t>特色载体，启动“天津市科技成果转移转化示范区”建设，为企业</w:t>
      </w:r>
      <w:r>
        <w:rPr>
          <w:rFonts w:hint="eastAsia" w:ascii="仿宋_GB2312" w:hAnsi="仿宋"/>
          <w:szCs w:val="32"/>
        </w:rPr>
        <w:t>提供“</w:t>
      </w:r>
      <w:r>
        <w:rPr>
          <w:rFonts w:ascii="仿宋_GB2312" w:hAnsi="仿宋"/>
          <w:szCs w:val="32"/>
        </w:rPr>
        <w:t>一站式</w:t>
      </w:r>
      <w:r>
        <w:rPr>
          <w:rFonts w:hint="eastAsia" w:ascii="仿宋_GB2312" w:hAnsi="仿宋"/>
          <w:szCs w:val="32"/>
        </w:rPr>
        <w:t>”</w:t>
      </w:r>
      <w:r>
        <w:rPr>
          <w:rFonts w:ascii="仿宋_GB2312" w:hAnsi="仿宋"/>
          <w:szCs w:val="32"/>
        </w:rPr>
        <w:t>科技金融服务。</w:t>
      </w:r>
    </w:p>
    <w:p>
      <w:pPr>
        <w:ind w:firstLine="643"/>
        <w:rPr>
          <w:rFonts w:ascii="仿宋_GB2312" w:hAnsi="仿宋"/>
          <w:szCs w:val="32"/>
        </w:rPr>
      </w:pPr>
      <w:r>
        <w:rPr>
          <w:rFonts w:hint="eastAsia" w:ascii="仿宋_GB2312" w:hAnsi="仿宋"/>
          <w:b/>
          <w:bCs/>
          <w:szCs w:val="32"/>
        </w:rPr>
        <w:t>深入推进全域城市化，都市新区建设迈出坚实步伐。</w:t>
      </w:r>
      <w:r>
        <w:rPr>
          <w:rFonts w:hint="eastAsia" w:ascii="仿宋_GB2312" w:hAnsi="仿宋"/>
          <w:szCs w:val="32"/>
        </w:rPr>
        <w:t>有序</w:t>
      </w:r>
      <w:r>
        <w:rPr>
          <w:rFonts w:hint="eastAsia" w:ascii="仿宋_GB2312" w:hAnsi="仿宋"/>
          <w:bCs/>
          <w:szCs w:val="32"/>
        </w:rPr>
        <w:t>推进全域城市化安居工程，以项目化、清单化、社会化为方向，开展拆迁、建设、还迁和管理工作；完善城市基础设施和市政配套，</w:t>
      </w:r>
      <w:r>
        <w:rPr>
          <w:rFonts w:hint="eastAsia" w:ascii="仿宋_GB2312" w:hAnsi="微软雅黑"/>
          <w:szCs w:val="32"/>
          <w:shd w:val="clear" w:color="auto" w:fill="FFFFFF"/>
        </w:rPr>
        <w:t>高标准推进东丽湖及中心城区海绵城市建设</w:t>
      </w:r>
      <w:r>
        <w:rPr>
          <w:rFonts w:hint="eastAsia" w:ascii="仿宋_GB2312" w:hAnsi="仿宋"/>
          <w:szCs w:val="32"/>
        </w:rPr>
        <w:t>；</w:t>
      </w:r>
      <w:r>
        <w:rPr>
          <w:rFonts w:hint="eastAsia" w:ascii="仿宋_GB2312" w:hAnsi="仿宋"/>
          <w:bCs/>
          <w:szCs w:val="32"/>
        </w:rPr>
        <w:t>加强城市管理开展专项整治行动，</w:t>
      </w:r>
      <w:r>
        <w:rPr>
          <w:rFonts w:hint="eastAsia" w:ascii="仿宋_GB2312"/>
          <w:szCs w:val="32"/>
          <w:shd w:val="clear" w:color="auto" w:fill="FFFFFF"/>
        </w:rPr>
        <w:t>争创全国文明城区和国家卫生区</w:t>
      </w:r>
      <w:r>
        <w:rPr>
          <w:rFonts w:hint="eastAsia" w:ascii="仿宋_GB2312" w:hAnsi="仿宋"/>
          <w:bCs/>
          <w:szCs w:val="32"/>
        </w:rPr>
        <w:t>。</w:t>
      </w:r>
      <w:r>
        <w:rPr>
          <w:rFonts w:hint="eastAsia" w:ascii="仿宋_GB2312" w:hAnsi="仿宋"/>
          <w:szCs w:val="32"/>
        </w:rPr>
        <w:t>群众居住条件持续改善，截至</w:t>
      </w:r>
      <w:r>
        <w:rPr>
          <w:rFonts w:ascii="仿宋_GB2312" w:hAnsi="仿宋"/>
          <w:szCs w:val="32"/>
        </w:rPr>
        <w:t>2019年底累计竣工还迁房1195万平方米，</w:t>
      </w:r>
      <w:r>
        <w:rPr>
          <w:rFonts w:hint="eastAsia" w:ascii="仿宋_GB2312" w:hAnsi="仿宋"/>
          <w:szCs w:val="32"/>
        </w:rPr>
        <w:t>完成</w:t>
      </w:r>
      <w:r>
        <w:rPr>
          <w:rFonts w:ascii="仿宋_GB2312" w:hAnsi="仿宋"/>
          <w:szCs w:val="32"/>
        </w:rPr>
        <w:t>65个片区、562幢楼老旧小区改造，22.5万人迁入新居。基础设施和市政配套不断完善，登州路等</w:t>
      </w:r>
      <w:r>
        <w:rPr>
          <w:szCs w:val="32"/>
        </w:rPr>
        <w:t>10</w:t>
      </w:r>
      <w:r>
        <w:rPr>
          <w:rFonts w:ascii="仿宋_GB2312" w:hAnsi="仿宋"/>
          <w:szCs w:val="32"/>
        </w:rPr>
        <w:t>条道路实现贯通，方山道等</w:t>
      </w:r>
      <w:r>
        <w:rPr>
          <w:szCs w:val="32"/>
        </w:rPr>
        <w:t>13</w:t>
      </w:r>
      <w:r>
        <w:rPr>
          <w:rFonts w:ascii="仿宋_GB2312" w:hAnsi="仿宋"/>
          <w:szCs w:val="32"/>
        </w:rPr>
        <w:t>条道路主体完工，东丽湖、华明高新区西区、金钟示范镇、新立示范镇等区域市政配套设施建设扎实推进。城市管理水平稳步提升，启动西片区域</w:t>
      </w:r>
      <w:r>
        <w:rPr>
          <w:szCs w:val="32"/>
        </w:rPr>
        <w:t>6</w:t>
      </w:r>
      <w:r>
        <w:rPr>
          <w:rFonts w:ascii="仿宋_GB2312" w:hAnsi="仿宋"/>
          <w:szCs w:val="32"/>
        </w:rPr>
        <w:t>个街道和东丽经开区环卫一体化试点建设，生活垃圾分类覆盖</w:t>
      </w:r>
      <w:r>
        <w:rPr>
          <w:szCs w:val="32"/>
        </w:rPr>
        <w:t>20</w:t>
      </w:r>
      <w:r>
        <w:rPr>
          <w:rFonts w:ascii="仿宋_GB2312" w:hAnsi="仿宋"/>
          <w:szCs w:val="32"/>
        </w:rPr>
        <w:t>万户居民，“大棚房”问题点位全部整改到位。</w:t>
      </w:r>
    </w:p>
    <w:p>
      <w:pPr>
        <w:ind w:firstLine="643"/>
        <w:rPr>
          <w:rFonts w:ascii="仿宋_GB2312" w:hAnsi="仿宋"/>
          <w:szCs w:val="32"/>
        </w:rPr>
      </w:pPr>
      <w:r>
        <w:rPr>
          <w:rFonts w:hint="eastAsia" w:ascii="仿宋_GB2312" w:hAnsi="仿宋"/>
          <w:b/>
          <w:szCs w:val="32"/>
        </w:rPr>
        <w:t>促进民生保障扩面提质，社会事业全面发展。</w:t>
      </w:r>
      <w:r>
        <w:rPr>
          <w:rFonts w:hint="eastAsia" w:ascii="仿宋_GB2312" w:hAnsi="仿宋"/>
          <w:bCs/>
          <w:szCs w:val="32"/>
        </w:rPr>
        <w:t>大力实施民心工程，</w:t>
      </w:r>
      <w:r>
        <w:rPr>
          <w:rFonts w:hint="eastAsia" w:ascii="仿宋_GB2312" w:hAnsi="仿宋"/>
          <w:szCs w:val="32"/>
        </w:rPr>
        <w:t>推动教育资源均衡配置和义务教育现代化建设，</w:t>
      </w:r>
      <w:r>
        <w:rPr>
          <w:rFonts w:hint="eastAsia" w:ascii="仿宋_GB2312" w:hAnsi="仿宋"/>
          <w:bCs/>
          <w:szCs w:val="32"/>
        </w:rPr>
        <w:t>优化公立医院、疾控中心、社区卫生服务中心（站）等公共医疗卫生资源配置，实施文化惠民工程建设东丽区文化阵地，引入社会资源增大养老服务供给</w:t>
      </w:r>
      <w:r>
        <w:rPr>
          <w:rFonts w:hint="eastAsia" w:ascii="仿宋_GB2312" w:hAnsi="仿宋"/>
          <w:szCs w:val="32"/>
        </w:rPr>
        <w:t>。教育资源布局逐步完善，累计建成</w:t>
      </w:r>
      <w:r>
        <w:rPr>
          <w:szCs w:val="32"/>
        </w:rPr>
        <w:t>50</w:t>
      </w:r>
      <w:r>
        <w:rPr>
          <w:rFonts w:hint="eastAsia" w:ascii="仿宋_GB2312" w:hAnsi="仿宋"/>
          <w:szCs w:val="32"/>
        </w:rPr>
        <w:t>所学校、幼儿园，各级各类教育基础设施和办学条件显著提升</w:t>
      </w:r>
      <w:r>
        <w:rPr>
          <w:rFonts w:ascii="仿宋_GB2312" w:hAnsi="仿宋"/>
          <w:szCs w:val="32"/>
        </w:rPr>
        <w:t>。</w:t>
      </w:r>
      <w:r>
        <w:rPr>
          <w:rFonts w:hint="eastAsia" w:ascii="仿宋_GB2312" w:hAnsi="仿宋"/>
          <w:szCs w:val="32"/>
        </w:rPr>
        <w:t>公共卫生服务体系不断健全，完成东丽医院、东丽区疾控中心及</w:t>
      </w:r>
      <w:r>
        <w:rPr>
          <w:szCs w:val="32"/>
        </w:rPr>
        <w:t>6</w:t>
      </w:r>
      <w:r>
        <w:rPr>
          <w:rFonts w:ascii="仿宋_GB2312" w:hAnsi="仿宋"/>
          <w:szCs w:val="32"/>
        </w:rPr>
        <w:t>家社区卫生服务中心改造建设，</w:t>
      </w:r>
      <w:r>
        <w:rPr>
          <w:rFonts w:hint="eastAsia" w:ascii="仿宋_GB2312"/>
          <w:szCs w:val="32"/>
          <w:shd w:val="clear" w:color="auto" w:fill="FFFFFF"/>
        </w:rPr>
        <w:t>扩展市儿童医院等医联体诊疗服务</w:t>
      </w:r>
      <w:r>
        <w:rPr>
          <w:rFonts w:hint="eastAsia" w:ascii="仿宋_GB2312" w:hAnsi="仿宋"/>
          <w:szCs w:val="32"/>
        </w:rPr>
        <w:t>。文化体育事业繁荣发展，建设区级、街道公共文化设施</w:t>
      </w:r>
      <w:r>
        <w:rPr>
          <w:szCs w:val="32"/>
        </w:rPr>
        <w:t>16</w:t>
      </w:r>
      <w:r>
        <w:rPr>
          <w:rFonts w:hint="eastAsia" w:ascii="仿宋_GB2312" w:hAnsi="仿宋"/>
          <w:szCs w:val="32"/>
        </w:rPr>
        <w:t>个，三级公共文化设施全部实现免费开放。养老服务工作有序开展，新建养老机构</w:t>
      </w:r>
      <w:r>
        <w:rPr>
          <w:szCs w:val="32"/>
        </w:rPr>
        <w:t>4</w:t>
      </w:r>
      <w:r>
        <w:rPr>
          <w:rFonts w:ascii="仿宋_GB2312" w:hAnsi="仿宋"/>
          <w:szCs w:val="32"/>
        </w:rPr>
        <w:t>所、老年日间照料中心</w:t>
      </w:r>
      <w:r>
        <w:rPr>
          <w:szCs w:val="32"/>
        </w:rPr>
        <w:t>5</w:t>
      </w:r>
      <w:r>
        <w:rPr>
          <w:rFonts w:ascii="仿宋_GB2312" w:hAnsi="仿宋"/>
          <w:szCs w:val="32"/>
        </w:rPr>
        <w:t>所，实现老人家食堂全面覆盖。就业服务</w:t>
      </w:r>
      <w:r>
        <w:rPr>
          <w:rFonts w:hint="eastAsia" w:ascii="仿宋_GB2312" w:hAnsi="仿宋"/>
          <w:szCs w:val="32"/>
        </w:rPr>
        <w:t>水平持续</w:t>
      </w:r>
      <w:r>
        <w:rPr>
          <w:rFonts w:ascii="仿宋_GB2312" w:hAnsi="仿宋"/>
          <w:szCs w:val="32"/>
        </w:rPr>
        <w:t>提升，搭建了“东丽就业云”平台，城镇登记失业率维持在</w:t>
      </w:r>
      <w:r>
        <w:rPr>
          <w:szCs w:val="32"/>
        </w:rPr>
        <w:t>3</w:t>
      </w:r>
      <w:r>
        <w:rPr>
          <w:rFonts w:ascii="仿宋_GB2312" w:hAnsi="仿宋"/>
          <w:szCs w:val="32"/>
        </w:rPr>
        <w:t>.</w:t>
      </w:r>
      <w:r>
        <w:rPr>
          <w:szCs w:val="32"/>
        </w:rPr>
        <w:t>8</w:t>
      </w:r>
      <w:r>
        <w:rPr>
          <w:rFonts w:ascii="仿宋_GB2312" w:hAnsi="仿宋"/>
          <w:szCs w:val="32"/>
        </w:rPr>
        <w:t>%以下，累计新增就业</w:t>
      </w:r>
      <w:r>
        <w:rPr>
          <w:szCs w:val="32"/>
        </w:rPr>
        <w:t>9</w:t>
      </w:r>
      <w:r>
        <w:rPr>
          <w:rFonts w:ascii="仿宋_GB2312" w:hAnsi="仿宋"/>
          <w:szCs w:val="32"/>
        </w:rPr>
        <w:t>.</w:t>
      </w:r>
      <w:r>
        <w:rPr>
          <w:szCs w:val="32"/>
        </w:rPr>
        <w:t>5</w:t>
      </w:r>
      <w:r>
        <w:rPr>
          <w:rFonts w:hint="eastAsia" w:ascii="仿宋_GB2312" w:hAnsi="仿宋"/>
          <w:szCs w:val="32"/>
        </w:rPr>
        <w:t>万人。</w:t>
      </w:r>
    </w:p>
    <w:p>
      <w:pPr>
        <w:ind w:firstLine="643"/>
        <w:rPr>
          <w:rFonts w:ascii="仿宋_GB2312" w:hAnsi="仿宋"/>
          <w:szCs w:val="32"/>
        </w:rPr>
      </w:pPr>
      <w:r>
        <w:rPr>
          <w:rFonts w:hint="eastAsia" w:ascii="仿宋_GB2312" w:hAnsi="仿宋"/>
          <w:b/>
          <w:bCs/>
          <w:szCs w:val="32"/>
        </w:rPr>
        <w:t>加强生态环境综合治理，环境质量持续改善。</w:t>
      </w:r>
      <w:r>
        <w:rPr>
          <w:rFonts w:hint="eastAsia" w:ascii="仿宋_GB2312"/>
          <w:szCs w:val="32"/>
          <w:shd w:val="clear" w:color="auto" w:fill="FFFFFF"/>
        </w:rPr>
        <w:t>坚持源头防控、铁腕治污，</w:t>
      </w:r>
      <w:r>
        <w:rPr>
          <w:rFonts w:hint="eastAsia" w:ascii="仿宋_GB2312" w:hAnsi="仿宋"/>
          <w:bCs/>
          <w:szCs w:val="32"/>
        </w:rPr>
        <w:t>开展园区围城、钢铁围城治理工作</w:t>
      </w:r>
      <w:r>
        <w:rPr>
          <w:rFonts w:hint="eastAsia" w:ascii="仿宋_GB2312" w:hAnsi="仿宋"/>
          <w:szCs w:val="32"/>
        </w:rPr>
        <w:t>，部署打好污染防治攻坚战六个实施计划，</w:t>
      </w:r>
      <w:r>
        <w:rPr>
          <w:rFonts w:ascii="仿宋_GB2312" w:hAnsi="仿宋"/>
          <w:bCs/>
          <w:szCs w:val="32"/>
        </w:rPr>
        <w:t>启动绿色生态屏障建设</w:t>
      </w:r>
      <w:r>
        <w:rPr>
          <w:rFonts w:hint="eastAsia" w:ascii="仿宋_GB2312" w:hAnsi="仿宋"/>
          <w:szCs w:val="32"/>
        </w:rPr>
        <w:t>。大气质量稳步提升，工业污染、燃煤污染、扬尘污染和机动车污染治理工作不断加强，</w:t>
      </w:r>
      <w:r>
        <w:rPr>
          <w:szCs w:val="32"/>
        </w:rPr>
        <w:t>2019</w:t>
      </w:r>
      <w:r>
        <w:rPr>
          <w:rFonts w:ascii="仿宋_GB2312" w:hAnsi="仿宋"/>
          <w:szCs w:val="32"/>
        </w:rPr>
        <w:t>年底</w:t>
      </w:r>
      <w:r>
        <w:rPr>
          <w:szCs w:val="32"/>
        </w:rPr>
        <w:t>PM</w:t>
      </w:r>
      <w:r>
        <w:rPr>
          <w:szCs w:val="32"/>
          <w:vertAlign w:val="subscript"/>
        </w:rPr>
        <w:t>2</w:t>
      </w:r>
      <w:r>
        <w:rPr>
          <w:rFonts w:ascii="仿宋_GB2312" w:hAnsi="仿宋"/>
          <w:szCs w:val="32"/>
          <w:vertAlign w:val="subscript"/>
        </w:rPr>
        <w:t>.</w:t>
      </w:r>
      <w:r>
        <w:rPr>
          <w:szCs w:val="32"/>
          <w:vertAlign w:val="subscript"/>
        </w:rPr>
        <w:t>5</w:t>
      </w:r>
      <w:r>
        <w:rPr>
          <w:rFonts w:hint="eastAsia" w:ascii="仿宋_GB2312" w:hAnsi="仿宋"/>
          <w:szCs w:val="32"/>
        </w:rPr>
        <w:t>浓度较</w:t>
      </w:r>
      <w:r>
        <w:rPr>
          <w:szCs w:val="32"/>
        </w:rPr>
        <w:t>2015</w:t>
      </w:r>
      <w:r>
        <w:rPr>
          <w:rFonts w:ascii="仿宋_GB2312" w:hAnsi="仿宋"/>
          <w:szCs w:val="32"/>
        </w:rPr>
        <w:t>年底下降</w:t>
      </w:r>
      <w:r>
        <w:rPr>
          <w:szCs w:val="32"/>
        </w:rPr>
        <w:t>22</w:t>
      </w:r>
      <w:r>
        <w:rPr>
          <w:rFonts w:ascii="仿宋_GB2312" w:hAnsi="仿宋"/>
          <w:szCs w:val="32"/>
        </w:rPr>
        <w:t>.</w:t>
      </w:r>
      <w:r>
        <w:rPr>
          <w:szCs w:val="32"/>
        </w:rPr>
        <w:t>7</w:t>
      </w:r>
      <w:r>
        <w:rPr>
          <w:rFonts w:ascii="仿宋_GB2312" w:hAnsi="仿宋"/>
          <w:szCs w:val="32"/>
        </w:rPr>
        <w:t>%。水环境质量逐步好转，</w:t>
      </w:r>
      <w:r>
        <w:rPr>
          <w:rFonts w:hint="eastAsia" w:ascii="仿宋_GB2312"/>
          <w:szCs w:val="32"/>
          <w:shd w:val="clear" w:color="auto" w:fill="FFFFFF"/>
        </w:rPr>
        <w:t>健全完善河湖长制，河湖“清四乱”等专项整治行动顺利开展，</w:t>
      </w:r>
      <w:r>
        <w:rPr>
          <w:szCs w:val="32"/>
        </w:rPr>
        <w:t>2019</w:t>
      </w:r>
      <w:r>
        <w:rPr>
          <w:rFonts w:ascii="仿宋_GB2312" w:hAnsi="仿宋"/>
          <w:szCs w:val="32"/>
        </w:rPr>
        <w:t>年</w:t>
      </w:r>
      <w:r>
        <w:rPr>
          <w:rFonts w:hint="eastAsia" w:ascii="仿宋_GB2312" w:hAnsi="仿宋"/>
          <w:szCs w:val="32"/>
        </w:rPr>
        <w:t>黑臭水体治理完成率达</w:t>
      </w:r>
      <w:r>
        <w:rPr>
          <w:szCs w:val="32"/>
        </w:rPr>
        <w:t>64</w:t>
      </w:r>
      <w:r>
        <w:rPr>
          <w:rFonts w:ascii="仿宋_GB2312" w:hAnsi="仿宋"/>
          <w:szCs w:val="32"/>
        </w:rPr>
        <w:t>%。土壤污染整治修复成效突出，严格执行企业用地、农用地土壤污染管控措施，完成老工会地块、天钢地块修复管控。生态保护修复工作持续推进，绿化水平不断提高，到</w:t>
      </w:r>
      <w:r>
        <w:rPr>
          <w:szCs w:val="32"/>
        </w:rPr>
        <w:t>2019</w:t>
      </w:r>
      <w:r>
        <w:rPr>
          <w:rFonts w:hint="eastAsia" w:ascii="仿宋_GB2312" w:hAnsi="仿宋"/>
          <w:szCs w:val="32"/>
        </w:rPr>
        <w:t>年底，完成绿化造林</w:t>
      </w:r>
      <w:r>
        <w:rPr>
          <w:szCs w:val="32"/>
        </w:rPr>
        <w:t>1</w:t>
      </w:r>
      <w:r>
        <w:rPr>
          <w:rFonts w:ascii="仿宋_GB2312" w:hAnsi="仿宋"/>
          <w:szCs w:val="32"/>
        </w:rPr>
        <w:t>.</w:t>
      </w:r>
      <w:r>
        <w:rPr>
          <w:szCs w:val="32"/>
        </w:rPr>
        <w:t>92</w:t>
      </w:r>
      <w:r>
        <w:rPr>
          <w:rFonts w:hint="eastAsia" w:ascii="仿宋_GB2312" w:hAnsi="仿宋"/>
          <w:szCs w:val="32"/>
        </w:rPr>
        <w:t>万亩，绿化覆盖率达到</w:t>
      </w:r>
      <w:r>
        <w:rPr>
          <w:szCs w:val="32"/>
        </w:rPr>
        <w:t>42</w:t>
      </w:r>
      <w:r>
        <w:rPr>
          <w:rFonts w:ascii="仿宋_GB2312" w:hAnsi="仿宋"/>
          <w:szCs w:val="32"/>
        </w:rPr>
        <w:t>.</w:t>
      </w:r>
      <w:r>
        <w:rPr>
          <w:szCs w:val="32"/>
        </w:rPr>
        <w:t>56</w:t>
      </w:r>
      <w:r>
        <w:rPr>
          <w:rFonts w:ascii="仿宋_GB2312" w:hAnsi="仿宋"/>
          <w:szCs w:val="32"/>
        </w:rPr>
        <w:t>%。</w:t>
      </w:r>
    </w:p>
    <w:p>
      <w:pPr>
        <w:ind w:firstLine="643"/>
        <w:rPr>
          <w:rFonts w:ascii="仿宋_GB2312" w:hAnsi="仿宋"/>
          <w:szCs w:val="32"/>
        </w:rPr>
      </w:pPr>
      <w:r>
        <w:rPr>
          <w:rFonts w:hint="eastAsia" w:ascii="仿宋_GB2312" w:hAnsi="仿宋"/>
          <w:b/>
          <w:bCs/>
          <w:szCs w:val="32"/>
        </w:rPr>
        <w:t>全面推进改革开放，区域发展红利持续释放。</w:t>
      </w:r>
      <w:r>
        <w:rPr>
          <w:rFonts w:hint="eastAsia" w:ascii="仿宋_GB2312" w:hAnsi="仿宋"/>
          <w:szCs w:val="32"/>
        </w:rPr>
        <w:t>深入落实京津冀协同发展重大战略，有序推进重要领域和关键环节改革工作。立足京津冀、链接长三角和粤港澳等地，组建招商服务中心，引进京东达业、浪潮集团等优质项目，</w:t>
      </w:r>
      <w:r>
        <w:rPr>
          <w:szCs w:val="32"/>
        </w:rPr>
        <w:t>2019</w:t>
      </w:r>
      <w:r>
        <w:rPr>
          <w:rFonts w:ascii="仿宋_GB2312" w:hAnsi="仿宋"/>
          <w:szCs w:val="32"/>
        </w:rPr>
        <w:t>年实现国内招商引资额</w:t>
      </w:r>
      <w:r>
        <w:rPr>
          <w:szCs w:val="32"/>
        </w:rPr>
        <w:t>169</w:t>
      </w:r>
      <w:r>
        <w:rPr>
          <w:rFonts w:ascii="仿宋_GB2312" w:hAnsi="仿宋"/>
          <w:szCs w:val="32"/>
        </w:rPr>
        <w:t>亿元。深入实施“一制三化”改革，全面推行承诺制审批制，到</w:t>
      </w:r>
      <w:r>
        <w:rPr>
          <w:szCs w:val="32"/>
        </w:rPr>
        <w:t>2019</w:t>
      </w:r>
      <w:r>
        <w:rPr>
          <w:rFonts w:ascii="仿宋_GB2312" w:hAnsi="仿宋"/>
          <w:szCs w:val="32"/>
        </w:rPr>
        <w:t>年底</w:t>
      </w:r>
      <w:r>
        <w:rPr>
          <w:rFonts w:hint="eastAsia" w:ascii="仿宋_GB2312" w:hAnsi="仿宋"/>
          <w:szCs w:val="32"/>
        </w:rPr>
        <w:t>，</w:t>
      </w:r>
      <w:r>
        <w:rPr>
          <w:szCs w:val="32"/>
        </w:rPr>
        <w:t>96</w:t>
      </w:r>
      <w:r>
        <w:rPr>
          <w:rFonts w:ascii="仿宋_GB2312" w:hAnsi="仿宋"/>
          <w:szCs w:val="32"/>
        </w:rPr>
        <w:t>.</w:t>
      </w:r>
      <w:r>
        <w:rPr>
          <w:szCs w:val="32"/>
        </w:rPr>
        <w:t>6</w:t>
      </w:r>
      <w:r>
        <w:rPr>
          <w:rFonts w:ascii="仿宋_GB2312" w:hAnsi="仿宋"/>
          <w:szCs w:val="32"/>
        </w:rPr>
        <w:t>%的政务服务事项实现“网上办”。落实决胜临空战略，临空经济区（自贸区）规划建设全面启动，自贸区东丽片区获得独立事权。探索“一区多园”管理模式，完成东丽经济技术开发区整合规划。</w:t>
      </w:r>
      <w:r>
        <w:rPr>
          <w:rFonts w:hint="eastAsia" w:ascii="仿宋_GB2312" w:hAnsi="仿宋"/>
          <w:szCs w:val="32"/>
        </w:rPr>
        <w:t>推进</w:t>
      </w:r>
      <w:r>
        <w:rPr>
          <w:rFonts w:ascii="仿宋_GB2312" w:hAnsi="仿宋"/>
          <w:szCs w:val="32"/>
        </w:rPr>
        <w:t>基层治理模式创新，东丽区网格中心</w:t>
      </w:r>
      <w:r>
        <w:rPr>
          <w:rFonts w:hint="eastAsia" w:ascii="仿宋_GB2312" w:hAnsi="仿宋"/>
          <w:szCs w:val="32"/>
        </w:rPr>
        <w:t>正式组建</w:t>
      </w:r>
      <w:r>
        <w:rPr>
          <w:rFonts w:ascii="仿宋_GB2312" w:hAnsi="仿宋"/>
          <w:szCs w:val="32"/>
        </w:rPr>
        <w:t>，</w:t>
      </w:r>
      <w:r>
        <w:rPr>
          <w:rFonts w:hint="eastAsia" w:ascii="仿宋_GB2312" w:hAnsi="仿宋"/>
          <w:szCs w:val="32"/>
        </w:rPr>
        <w:t>党群网格服务群众工作机制基本形成，基础治理精准化水平不断提升</w:t>
      </w:r>
      <w:r>
        <w:rPr>
          <w:rFonts w:ascii="仿宋_GB2312" w:hAnsi="仿宋"/>
          <w:szCs w:val="32"/>
        </w:rPr>
        <w:t>。推进财政体制改革，街道税收分成比例和资金分配使用自主性</w:t>
      </w:r>
      <w:r>
        <w:rPr>
          <w:rFonts w:hint="eastAsia" w:ascii="仿宋_GB2312" w:hAnsi="仿宋"/>
          <w:szCs w:val="32"/>
        </w:rPr>
        <w:t>实现</w:t>
      </w:r>
      <w:r>
        <w:rPr>
          <w:rFonts w:ascii="仿宋_GB2312" w:hAnsi="仿宋"/>
          <w:szCs w:val="32"/>
        </w:rPr>
        <w:t>提升，基层干事创业积极性不断增强。深化国资国企改革，</w:t>
      </w:r>
      <w:r>
        <w:rPr>
          <w:rFonts w:hint="eastAsia" w:ascii="仿宋_GB2312" w:hAnsi="仿宋"/>
          <w:szCs w:val="32"/>
        </w:rPr>
        <w:t>推动低效企业出清关停，</w:t>
      </w:r>
      <w:r>
        <w:rPr>
          <w:rFonts w:ascii="仿宋_GB2312" w:hAnsi="仿宋"/>
          <w:szCs w:val="32"/>
        </w:rPr>
        <w:t>累计出清国有企业</w:t>
      </w:r>
      <w:r>
        <w:rPr>
          <w:szCs w:val="32"/>
        </w:rPr>
        <w:t>145</w:t>
      </w:r>
      <w:r>
        <w:rPr>
          <w:rFonts w:ascii="仿宋_GB2312" w:hAnsi="仿宋"/>
          <w:szCs w:val="32"/>
        </w:rPr>
        <w:t>家。</w:t>
      </w:r>
    </w:p>
    <w:p>
      <w:pPr>
        <w:pStyle w:val="3"/>
        <w:rPr>
          <w:rFonts w:ascii="Times New Roman" w:hAnsi="Times New Roman"/>
          <w:szCs w:val="30"/>
        </w:rPr>
      </w:pPr>
      <w:r>
        <w:rPr>
          <w:rFonts w:hint="eastAsia" w:ascii="Times New Roman" w:hAnsi="Times New Roman"/>
          <w:szCs w:val="30"/>
        </w:rPr>
        <w:t>（二）存在问题</w:t>
      </w:r>
    </w:p>
    <w:p>
      <w:pPr>
        <w:ind w:firstLine="643"/>
        <w:rPr>
          <w:rFonts w:cs="Times New Roman"/>
          <w:szCs w:val="32"/>
        </w:rPr>
      </w:pPr>
      <w:r>
        <w:rPr>
          <w:rFonts w:hint="eastAsia" w:ascii="仿宋_GB2312" w:hAnsi="黑体" w:cs="Times New Roman"/>
          <w:b/>
          <w:bCs/>
          <w:szCs w:val="32"/>
        </w:rPr>
        <w:t>发展动力不足是东丽当前和未来面临的最核心问题。</w:t>
      </w:r>
      <w:r>
        <w:rPr>
          <w:rFonts w:hint="eastAsia" w:ascii="仿宋_GB2312" w:hAnsi="黑体" w:cs="Times New Roman"/>
          <w:bCs/>
          <w:szCs w:val="32"/>
        </w:rPr>
        <w:t>“十三五”期间，东丽地区生产总值年均增速为</w:t>
      </w:r>
      <w:r>
        <w:rPr>
          <w:rFonts w:ascii="仿宋_GB2312" w:hAnsi="仿宋" w:cs="Times New Roman"/>
          <w:szCs w:val="32"/>
        </w:rPr>
        <w:t>3.4</w:t>
      </w:r>
      <w:r>
        <w:rPr>
          <w:rFonts w:hint="eastAsia" w:ascii="仿宋_GB2312" w:hAnsi="仿宋" w:cs="Times New Roman"/>
          <w:szCs w:val="32"/>
        </w:rPr>
        <w:t>%</w:t>
      </w:r>
      <w:r>
        <w:rPr>
          <w:rFonts w:ascii="仿宋_GB2312" w:hAnsi="黑体" w:cs="Times New Roman"/>
          <w:bCs/>
          <w:szCs w:val="32"/>
        </w:rPr>
        <w:t>，</w:t>
      </w:r>
      <w:r>
        <w:rPr>
          <w:rFonts w:hint="eastAsia" w:ascii="仿宋_GB2312" w:hAnsi="黑体" w:cs="Times New Roman"/>
          <w:szCs w:val="32"/>
        </w:rPr>
        <w:t>低于天津市和全国的平均水平。具体来说，一是经济发展重点与新经济趋势脱节，东丽区支柱产业以钢铁材料、汽车制造、装备制造等重工业、大制造为主，业态低端、产品附加值低，市场规模不断缩小；市场主体以大型国有和外资企业为主、创新发展意愿弱，抓住新经济发展机会的高成长企业数量少、规模小。二是创新驱动不足，立足天津市全国先进制造研发基地定位，面向新动能引育壮大要求，东丽</w:t>
      </w:r>
      <w:r>
        <w:rPr>
          <w:rFonts w:hint="eastAsia" w:ascii="仿宋_GB2312" w:hAnsi="宋体" w:cs="宋体"/>
        </w:rPr>
        <w:t>科技创新对经济发展支撑作用相对较弱，</w:t>
      </w:r>
      <w:bookmarkStart w:id="17" w:name="_Hlk49294491"/>
      <w:r>
        <w:rPr>
          <w:rFonts w:hint="eastAsia" w:ascii="仿宋_GB2312" w:hAnsi="黑体" w:cs="Times New Roman"/>
          <w:bCs/>
          <w:szCs w:val="32"/>
        </w:rPr>
        <w:t>科研院所与本地产业发展需求对接不足，</w:t>
      </w:r>
      <w:bookmarkEnd w:id="17"/>
      <w:r>
        <w:rPr>
          <w:rFonts w:hint="eastAsia" w:ascii="仿宋_GB2312" w:hAnsi="黑体" w:cs="Times New Roman"/>
          <w:bCs/>
          <w:szCs w:val="32"/>
        </w:rPr>
        <w:t>创新型企业数量少，新动能“底盘”偏弱偏小。</w:t>
      </w:r>
    </w:p>
    <w:p>
      <w:pPr>
        <w:ind w:firstLine="643"/>
        <w:rPr>
          <w:rFonts w:ascii="仿宋_GB2312" w:hAnsi="宋体" w:cs="宋体"/>
        </w:rPr>
      </w:pPr>
      <w:r>
        <w:rPr>
          <w:rFonts w:hint="eastAsia" w:ascii="仿宋_GB2312" w:hAnsi="宋体" w:cs="宋体"/>
          <w:b/>
        </w:rPr>
        <w:t>与国内高品质城市相比，我区城市发展综合实力有待增强。</w:t>
      </w:r>
      <w:r>
        <w:rPr>
          <w:rFonts w:hint="eastAsia" w:ascii="仿宋_GB2312" w:hAnsi="仿宋" w:cs="Times New Roman"/>
          <w:szCs w:val="32"/>
        </w:rPr>
        <w:t>一是</w:t>
      </w:r>
      <w:bookmarkStart w:id="18" w:name="_Hlk49294636"/>
      <w:r>
        <w:rPr>
          <w:rFonts w:hint="eastAsia" w:ascii="仿宋_GB2312" w:hAnsi="仿宋" w:cs="Times New Roman"/>
          <w:szCs w:val="32"/>
        </w:rPr>
        <w:t>城市管理水平滞后于新型城市要求和都市新区定位，</w:t>
      </w:r>
      <w:r>
        <w:rPr>
          <w:rFonts w:hint="eastAsia" w:ascii="仿宋_GB2312" w:hAnsi="华文楷体"/>
          <w:color w:val="000000"/>
          <w:spacing w:val="-4"/>
        </w:rPr>
        <w:t>“社区之表、农村之实”问题严重</w:t>
      </w:r>
      <w:r>
        <w:rPr>
          <w:rFonts w:hint="eastAsia" w:ascii="仿宋_GB2312" w:hAnsi="黑体" w:cs="Times New Roman"/>
          <w:szCs w:val="32"/>
        </w:rPr>
        <w:t>。</w:t>
      </w:r>
      <w:bookmarkEnd w:id="18"/>
      <w:r>
        <w:rPr>
          <w:rFonts w:hint="eastAsia" w:ascii="仿宋_GB2312" w:hAnsi="黑体" w:cs="Times New Roman"/>
          <w:szCs w:val="32"/>
        </w:rPr>
        <w:t>二是</w:t>
      </w:r>
      <w:r>
        <w:rPr>
          <w:rFonts w:hint="eastAsia" w:ascii="仿宋_GB2312" w:hAnsi="仿宋" w:cs="Times New Roman"/>
          <w:szCs w:val="32"/>
        </w:rPr>
        <w:t>公共服务资源与新城市布局和居民需求不匹配问题突显，以津塘公路为界呈现南强北弱态势，学前教育、养老服务难以满足群众需求。</w:t>
      </w:r>
      <w:r>
        <w:rPr>
          <w:rFonts w:hint="eastAsia" w:ascii="仿宋_GB2312" w:hAnsi="黑体" w:cs="Times New Roman"/>
          <w:szCs w:val="32"/>
        </w:rPr>
        <w:t>三是生态环境治理有待提速换道，</w:t>
      </w:r>
      <w:r>
        <w:rPr>
          <w:rFonts w:hint="eastAsia" w:ascii="仿宋_GB2312" w:hAnsi="仿宋" w:cs="Times New Roman"/>
          <w:szCs w:val="32"/>
        </w:rPr>
        <w:t>生态屏障建设工作仍处于初期阶段，</w:t>
      </w:r>
      <w:r>
        <w:rPr>
          <w:rFonts w:hint="eastAsia" w:ascii="仿宋_GB2312" w:hAnsi="华文楷体"/>
          <w:color w:val="000000"/>
          <w:spacing w:val="-4"/>
        </w:rPr>
        <w:t>管控区内产业升级、企业转型路径不清晰，环境治理和产业发展明显受限</w:t>
      </w:r>
      <w:r>
        <w:rPr>
          <w:rFonts w:hint="eastAsia" w:ascii="仿宋_GB2312" w:hAnsi="仿宋" w:cs="Times New Roman"/>
          <w:szCs w:val="32"/>
        </w:rPr>
        <w:t>。四是</w:t>
      </w:r>
      <w:r>
        <w:rPr>
          <w:rFonts w:hint="eastAsia" w:cs="Times New Roman"/>
          <w:szCs w:val="32"/>
        </w:rPr>
        <w:t>营商环境对高端要素吸引不够，适应新经济发展的制度供给不足。</w:t>
      </w:r>
    </w:p>
    <w:p>
      <w:pPr>
        <w:ind w:firstLine="643"/>
        <w:rPr>
          <w:rFonts w:cs="Times New Roman"/>
          <w:b/>
          <w:bCs/>
          <w:szCs w:val="32"/>
        </w:rPr>
      </w:pPr>
      <w:r>
        <w:rPr>
          <w:rFonts w:hint="eastAsia" w:ascii="仿宋_GB2312" w:hAnsi="黑体" w:cs="Times New Roman"/>
          <w:b/>
          <w:bCs/>
          <w:szCs w:val="32"/>
        </w:rPr>
        <w:t>究其原因，在于思想理念保守、发展模式传统。</w:t>
      </w:r>
      <w:r>
        <w:rPr>
          <w:rFonts w:hint="eastAsia" w:ascii="仿宋_GB2312" w:hAnsi="黑体" w:cs="Times New Roman"/>
          <w:szCs w:val="32"/>
        </w:rPr>
        <w:t>一方面是我区发展理念尚未跟上新经济发展要求，</w:t>
      </w:r>
      <w:r>
        <w:rPr>
          <w:rFonts w:hint="eastAsia" w:cs="Times New Roman"/>
          <w:szCs w:val="32"/>
        </w:rPr>
        <w:t>产业培育重点仍以传统制造领域为主，科技创新工作主要围绕科研院所单一类型资源，主动谋开放、求发展的意识不强，对新动能、新机遇识别不足，脑袋上的“津门”还没有真正打开。另一方面是发展模式尚未适应高质量发展进程，东丽区产业培育、科技创新、生态建设、城市建设工作仍沿用传统方式，对于产业平台化、创新生态化、城市品质化探索不足，虽然要素驱动招引产业、创新、城市建设项目资源，但内生动力不足、有量无质。</w:t>
      </w:r>
    </w:p>
    <w:p>
      <w:pPr>
        <w:pStyle w:val="3"/>
        <w:rPr>
          <w:rFonts w:cs="方正小标宋简体" w:hAnsiTheme="majorEastAsia"/>
        </w:rPr>
      </w:pPr>
      <w:r>
        <w:rPr>
          <w:rFonts w:hint="eastAsia"/>
        </w:rPr>
        <w:t>二、“十四五”时期面临形势</w:t>
      </w:r>
    </w:p>
    <w:p>
      <w:pPr>
        <w:ind w:firstLine="640"/>
        <w:rPr>
          <w:snapToGrid w:val="0"/>
        </w:rPr>
      </w:pPr>
      <w:r>
        <w:rPr>
          <w:rFonts w:hint="eastAsia" w:cs="Times New Roman"/>
          <w:szCs w:val="32"/>
        </w:rPr>
        <w:t>“十四五”时期是我国“两个一百年”奋斗目标的历史交汇期，也是全面开启社会主义现代化强国建设新征程的重要机遇期。</w:t>
      </w:r>
      <w:r>
        <w:rPr>
          <w:rFonts w:hint="eastAsia"/>
        </w:rPr>
        <w:t>新一轮科技和产业革命加速演进，中美贸易摩擦、新型冠状病毒肺炎疫情等</w:t>
      </w:r>
      <w:r>
        <w:rPr>
          <w:rFonts w:hint="eastAsia" w:cs="Times New Roman"/>
          <w:szCs w:val="32"/>
        </w:rPr>
        <w:t>不确定不稳定因素增加，未来五年，东丽区经济社会发展既面临难得的历史机遇，也将迎来诸多风险和挑战。</w:t>
      </w:r>
    </w:p>
    <w:p>
      <w:pPr>
        <w:ind w:firstLine="643"/>
      </w:pPr>
      <w:r>
        <w:rPr>
          <w:rFonts w:hint="eastAsia"/>
          <w:b/>
        </w:rPr>
        <w:t>从国际上看，百年大变局带来新的机遇和挑战。</w:t>
      </w:r>
      <w:r>
        <w:rPr>
          <w:rFonts w:hint="eastAsia"/>
        </w:rPr>
        <w:t>当前世界处于百年未有之大变局。新一轮科技革命和产业变革加速演进，人工智能、生命科学、新能源新材料等领域的颠覆性技术在全球创新高地爆发、融合，诞生大量具有爆发式成长潜力的新模式新业态，为区域换道超车带来千载难逢的机会。中美战略博弈成为常态，加剧逆全球化浪潮，倒逼我国加速优化经济结构、谋求自主创新。与此同时，随着新冠肺炎疫情蔓延扩散，全球经济出现上世纪</w:t>
      </w:r>
      <w:r>
        <w:t>30</w:t>
      </w:r>
      <w:r>
        <w:rPr>
          <w:rFonts w:hint="eastAsia"/>
        </w:rPr>
        <w:t>年代大萧条以来最严重衰退，经济运行风险显著提升。新形势带来新机遇、也带来新挑战，东丽区要因势而变，及时转变发展方式、抢抓新经济机遇，在新一轮发展实现突破。</w:t>
      </w:r>
    </w:p>
    <w:p>
      <w:pPr>
        <w:ind w:firstLine="643"/>
        <w:rPr>
          <w:rFonts w:cs="Times New Roman"/>
          <w:szCs w:val="32"/>
        </w:rPr>
      </w:pPr>
      <w:r>
        <w:rPr>
          <w:rFonts w:hint="eastAsia" w:cs="Times New Roman"/>
          <w:b/>
          <w:szCs w:val="32"/>
        </w:rPr>
        <w:t>从国内看，经济高质量发展新阶段提出新要求。</w:t>
      </w:r>
      <w:r>
        <w:rPr>
          <w:rFonts w:hint="eastAsia" w:cs="Times New Roman"/>
          <w:szCs w:val="32"/>
        </w:rPr>
        <w:t>党的十九大报告明确指出，我国经济已由高速增长阶段转向高质量发展阶段，新旧动能转换成为我国现阶段最重要的问题，从中央到地方，都把培育新动能、发展新经济作为全局工作的重中之重。在国内外环境发生显著变化的大背景下，中共中央政治局常委会会议提出要充分发挥我国超大规模市场优势和内需潜力，构建国内循环为主、国内国际互促双循环新格局，提升产业链供应链的安全稳定和竞争力，推进我国经济高质量发展。</w:t>
      </w:r>
      <w:r>
        <w:rPr>
          <w:rFonts w:hint="eastAsia" w:cs="Times New Roman"/>
          <w:kern w:val="0"/>
          <w:szCs w:val="32"/>
        </w:rPr>
        <w:t>在新的发展阶段，东丽区要落实新发展理念、加速新旧动能转换，</w:t>
      </w:r>
      <w:r>
        <w:rPr>
          <w:rFonts w:hint="eastAsia" w:cs="Times New Roman"/>
          <w:szCs w:val="32"/>
        </w:rPr>
        <w:t>建立健全现代化经济体系，</w:t>
      </w:r>
      <w:r>
        <w:rPr>
          <w:rFonts w:hint="eastAsia" w:cs="Times New Roman"/>
          <w:kern w:val="0"/>
          <w:szCs w:val="32"/>
        </w:rPr>
        <w:t>在促进“双循环”新发展格局中走在前列。</w:t>
      </w:r>
    </w:p>
    <w:p>
      <w:pPr>
        <w:ind w:firstLine="643"/>
        <w:rPr>
          <w:rFonts w:cs="Times New Roman"/>
          <w:kern w:val="0"/>
          <w:szCs w:val="32"/>
        </w:rPr>
      </w:pPr>
      <w:r>
        <w:rPr>
          <w:rFonts w:hint="eastAsia" w:cs="Times New Roman"/>
          <w:b/>
          <w:bCs/>
          <w:szCs w:val="32"/>
        </w:rPr>
        <w:t>从区域看，京津冀协同发展进入新时期、亟待新突破。</w:t>
      </w:r>
      <w:r>
        <w:rPr>
          <w:rFonts w:hint="eastAsia" w:cs="Times New Roman"/>
          <w:szCs w:val="32"/>
        </w:rPr>
        <w:t>京津冀协同发展战略实施六年来成效显著，区域发展协调性不断增强，已经进入以新经济为核心的深化实施阶段。三地</w:t>
      </w:r>
      <w:r>
        <w:rPr>
          <w:rFonts w:hint="eastAsia" w:cs="Times New Roman"/>
          <w:kern w:val="0"/>
          <w:szCs w:val="32"/>
        </w:rPr>
        <w:t>新模式、新业态不断涌现，基于创新创业的新经济体系成为加速区域崛起的核心因素，以新兴产业、创新企业和科技服务为代表的新经济资源跨区域布局成为京津冀协同发展的重要力量。“十四五”时期，是天津市实现“一基地三区”定位的关键时期，天津提出要抓住北京非首都功能这个“牛鼻子”，主动服务雄安新区发展，加快建设世界一流的智慧港口、绿色港口，大力推进重点领域协同。在这样的背景下，东丽区要围绕新经济，积极探索、突破创新，在京津冀协同发展中贡献东丽之为。</w:t>
      </w:r>
    </w:p>
    <w:p>
      <w:pPr>
        <w:ind w:firstLine="643"/>
        <w:rPr>
          <w:rFonts w:ascii="仿宋_GB2312" w:cs="Times New Roman"/>
          <w:bCs/>
          <w:szCs w:val="32"/>
        </w:rPr>
      </w:pPr>
      <w:r>
        <w:rPr>
          <w:rFonts w:hint="eastAsia" w:cs="Times New Roman"/>
          <w:b/>
          <w:szCs w:val="32"/>
        </w:rPr>
        <w:t>从天津市看，融入双城发展格局大势需要新招法、新路径。</w:t>
      </w:r>
      <w:r>
        <w:rPr>
          <w:rFonts w:hint="eastAsia" w:cs="Times New Roman"/>
          <w:bCs/>
          <w:szCs w:val="32"/>
        </w:rPr>
        <w:t>当前和今后一个时期，天津发展都处在负重前行、滚石上山的战略调整阶段。</w:t>
      </w:r>
      <w:r>
        <w:rPr>
          <w:rFonts w:hint="eastAsia" w:ascii="仿宋_GB2312" w:cs="Times New Roman"/>
          <w:bCs/>
          <w:szCs w:val="32"/>
        </w:rPr>
        <w:t>为把握新经济发展机遇、加速新旧动能转换，天津市研究制定了新动能引育五年行动计划，提出要大力培育国家级高新技术企业、提升战略性新兴产业能级等五项重点任务，全面推进全国先进制造研发基地建设。为加快“一基地三区”建设，天津提出区域协同、全域统筹、空间重构，</w:t>
      </w:r>
      <w:bookmarkStart w:id="19" w:name="_Hlk49296032"/>
      <w:r>
        <w:rPr>
          <w:rFonts w:hint="eastAsia" w:ascii="仿宋_GB2312" w:cs="Times New Roman"/>
          <w:bCs/>
          <w:szCs w:val="32"/>
        </w:rPr>
        <w:t>着力构建中心城区与滨海新区双城发展格局，</w:t>
      </w:r>
      <w:bookmarkEnd w:id="19"/>
      <w:r>
        <w:rPr>
          <w:rFonts w:hint="eastAsia" w:ascii="仿宋_GB2312" w:cs="Times New Roman"/>
          <w:bCs/>
          <w:szCs w:val="32"/>
        </w:rPr>
        <w:t>建设双城间绿色生态屏障，推进中心集聚、向海发展、生态引领、海陆统筹</w:t>
      </w:r>
      <w:r>
        <w:rPr>
          <w:rFonts w:hint="eastAsia" w:ascii="仿宋_GB2312" w:cs="Times New Roman"/>
          <w:szCs w:val="32"/>
        </w:rPr>
        <w:t>。在新城市发展格局中，</w:t>
      </w:r>
      <w:r>
        <w:rPr>
          <w:rFonts w:hint="eastAsia" w:ascii="仿宋_GB2312" w:cs="Times New Roman"/>
          <w:bCs/>
          <w:szCs w:val="32"/>
        </w:rPr>
        <w:t>东丽区要敢为人先、率先探索，在新动能引育壮大的招法创新上作出示范，在品质城市功能提升的路径探索上发挥引领先行。</w:t>
      </w:r>
    </w:p>
    <w:p>
      <w:pPr>
        <w:ind w:firstLine="640"/>
      </w:pPr>
      <w:r>
        <w:rPr>
          <w:rFonts w:hint="eastAsia" w:ascii="仿宋_GB2312" w:cs="Times New Roman"/>
        </w:rPr>
        <w:t>综上分析，“十四五”时期是东丽区实现创新驱动绿色高质量发展的突破期，面对新的发展形势，关键要牢牢把握新经济、新阶段的新要求，转变发展理念、创新发展模式，</w:t>
      </w:r>
      <w:r>
        <w:rPr>
          <w:rFonts w:hint="eastAsia" w:ascii="仿宋_GB2312"/>
          <w:spacing w:val="-4"/>
        </w:rPr>
        <w:t>以全面融入</w:t>
      </w:r>
      <w:r>
        <w:rPr>
          <w:rFonts w:hint="eastAsia" w:ascii="仿宋_GB2312" w:cs="Times New Roman"/>
        </w:rPr>
        <w:t>天津发展大势</w:t>
      </w:r>
      <w:r>
        <w:rPr>
          <w:rFonts w:hint="eastAsia" w:ascii="仿宋_GB2312"/>
          <w:spacing w:val="-4"/>
        </w:rPr>
        <w:t>为导向，</w:t>
      </w:r>
      <w:r>
        <w:rPr>
          <w:rFonts w:hint="eastAsia" w:ascii="仿宋_GB2312" w:cs="Times New Roman"/>
        </w:rPr>
        <w:t>以大力推进新动能引育为核心，优化产业结构、强化创新驱动、提升城市品质，</w:t>
      </w:r>
      <w:r>
        <w:rPr>
          <w:rFonts w:hint="eastAsia" w:ascii="仿宋_GB2312"/>
          <w:spacing w:val="-4"/>
        </w:rPr>
        <w:t>在天津市“一基地三区”中建设贡献“东丽之为”，实现东丽位势提升、跨越发展</w:t>
      </w:r>
      <w:bookmarkEnd w:id="16"/>
      <w:r>
        <w:rPr>
          <w:rFonts w:hint="eastAsia" w:ascii="仿宋_GB2312" w:hAnsi="黑体" w:cs="Times New Roman"/>
          <w:bCs/>
          <w:szCs w:val="32"/>
        </w:rPr>
        <w:t>。</w:t>
      </w:r>
      <w:r>
        <w:br w:type="page"/>
      </w:r>
    </w:p>
    <w:p>
      <w:pPr>
        <w:keepNext/>
        <w:keepLines/>
        <w:adjustRightInd w:val="0"/>
        <w:ind w:firstLine="707"/>
        <w:jc w:val="center"/>
        <w:textAlignment w:val="baseline"/>
        <w:outlineLvl w:val="0"/>
        <w:rPr>
          <w:rFonts w:ascii="黑体" w:hAnsi="黑体" w:eastAsia="黑体" w:cs="Times New Roman"/>
          <w:b/>
          <w:strike/>
          <w:spacing w:val="-4"/>
          <w:kern w:val="44"/>
          <w:sz w:val="36"/>
          <w:szCs w:val="36"/>
        </w:rPr>
      </w:pPr>
      <w:bookmarkStart w:id="20" w:name="_Toc48224378"/>
      <w:r>
        <w:rPr>
          <w:rFonts w:hint="eastAsia" w:ascii="黑体" w:hAnsi="黑体" w:eastAsia="黑体" w:cs="Times New Roman"/>
          <w:b/>
          <w:spacing w:val="-4"/>
          <w:kern w:val="44"/>
          <w:sz w:val="36"/>
          <w:szCs w:val="36"/>
        </w:rPr>
        <w:t>第二章</w:t>
      </w:r>
      <w:r>
        <w:rPr>
          <w:rFonts w:ascii="黑体" w:hAnsi="黑体" w:eastAsia="黑体" w:cs="Times New Roman"/>
          <w:b/>
          <w:spacing w:val="-4"/>
          <w:kern w:val="44"/>
          <w:sz w:val="36"/>
          <w:szCs w:val="36"/>
        </w:rPr>
        <w:t xml:space="preserve"> </w:t>
      </w:r>
      <w:r>
        <w:rPr>
          <w:rFonts w:hint="eastAsia" w:ascii="黑体" w:hAnsi="黑体" w:eastAsia="黑体" w:cs="Times New Roman"/>
          <w:b/>
          <w:spacing w:val="-4"/>
          <w:kern w:val="44"/>
          <w:sz w:val="36"/>
          <w:szCs w:val="36"/>
        </w:rPr>
        <w:t>凝聚共识，谋划东丽发展新篇章</w:t>
      </w:r>
      <w:bookmarkEnd w:id="20"/>
    </w:p>
    <w:p>
      <w:pPr>
        <w:keepNext/>
        <w:keepLines/>
        <w:ind w:firstLine="643"/>
        <w:outlineLvl w:val="1"/>
        <w:rPr>
          <w:rFonts w:ascii="楷体_GB2312" w:hAnsi="黑体" w:eastAsia="楷体_GB2312" w:cs="Times New Roman"/>
          <w:b/>
          <w:bCs/>
          <w:szCs w:val="32"/>
        </w:rPr>
      </w:pPr>
      <w:bookmarkStart w:id="21" w:name="_Toc440357909"/>
      <w:bookmarkStart w:id="22" w:name="_Toc48224379"/>
      <w:bookmarkStart w:id="23" w:name="_Toc436607055"/>
      <w:r>
        <w:rPr>
          <w:rFonts w:hint="eastAsia" w:ascii="楷体_GB2312" w:hAnsi="黑体" w:eastAsia="楷体_GB2312" w:cs="Times New Roman"/>
          <w:b/>
          <w:bCs/>
          <w:szCs w:val="32"/>
        </w:rPr>
        <w:t>一、指导思想</w:t>
      </w:r>
      <w:bookmarkEnd w:id="21"/>
      <w:bookmarkEnd w:id="22"/>
      <w:bookmarkEnd w:id="23"/>
    </w:p>
    <w:p>
      <w:pPr>
        <w:ind w:firstLine="640"/>
        <w:rPr>
          <w:rFonts w:ascii="仿宋_GB2312" w:hAnsi="仿宋" w:cs="Times New Roman"/>
          <w:snapToGrid w:val="0"/>
          <w:szCs w:val="32"/>
        </w:rPr>
      </w:pPr>
      <w:r>
        <w:rPr>
          <w:rFonts w:hint="eastAsia" w:ascii="仿宋_GB2312" w:hAnsi="仿宋" w:cs="Times New Roman"/>
          <w:snapToGrid w:val="0"/>
          <w:szCs w:val="32"/>
        </w:rPr>
        <w:t>以习近平新时代中国特色社会主义思想为指导，全面贯彻党的十九大和十九届二中、三中、四中全会精神，深入落实京津冀协同发展重大国家战略，以习近平总书记对天津工作提出的“三个着力”重要要求为元为纲，把握天津市战略转型调整机遇期，落实新动能引育计划，</w:t>
      </w:r>
      <w:r>
        <w:rPr>
          <w:rFonts w:hint="eastAsia" w:ascii="仿宋_GB2312" w:hAnsi="仿宋" w:cs="Times New Roman"/>
          <w:spacing w:val="-4"/>
          <w:kern w:val="0"/>
          <w:szCs w:val="32"/>
        </w:rPr>
        <w:t>实施“一三三四</w:t>
      </w:r>
      <w:r>
        <w:rPr>
          <w:rFonts w:ascii="仿宋_GB2312" w:hAnsi="仿宋" w:cs="Times New Roman"/>
          <w:spacing w:val="-4"/>
          <w:kern w:val="0"/>
          <w:szCs w:val="32"/>
        </w:rPr>
        <w:t>六</w:t>
      </w:r>
      <w:r>
        <w:rPr>
          <w:rFonts w:hint="eastAsia" w:ascii="仿宋_GB2312" w:hAnsi="仿宋" w:cs="Times New Roman"/>
          <w:spacing w:val="-4"/>
          <w:kern w:val="0"/>
          <w:szCs w:val="32"/>
        </w:rPr>
        <w:t>”发展战略，坚持“走双创（创新创业）强区之路，实现绿色高质量发展”这一主线，强化产业高端化、创新生态化、城市品质化三个动力，提升绿色宜居、人才宜业、企业宜商三大环境，实现产业转型引领区、创新创业先行区、绿色生态宜居区、都市新城示范区四个战略定位，围绕产业、创新、城市、民生、生态、改革开放部署“十四五”六大重点战略任务，全面融入主城发展，把东丽区</w:t>
      </w:r>
      <w:r>
        <w:rPr>
          <w:rFonts w:hint="eastAsia" w:ascii="仿宋_GB2312" w:hAnsi="仿宋" w:cs="Times New Roman"/>
          <w:snapToGrid w:val="0"/>
          <w:szCs w:val="32"/>
        </w:rPr>
        <w:t>打造成为引领天津动能转换、具有全国影响力的“科创绿谷·临空新城”。</w:t>
      </w:r>
    </w:p>
    <w:p>
      <w:pPr>
        <w:ind w:firstLine="643"/>
        <w:rPr>
          <w:rFonts w:ascii="仿宋_GB2312" w:hAnsi="仿宋" w:cs="Times New Roman"/>
          <w:b/>
          <w:bCs/>
          <w:snapToGrid w:val="0"/>
          <w:szCs w:val="32"/>
        </w:rPr>
      </w:pPr>
      <w:r>
        <w:rPr>
          <w:rFonts w:hint="eastAsia" w:ascii="仿宋_GB2312" w:hAnsi="仿宋" w:cs="Times New Roman"/>
          <w:b/>
          <w:bCs/>
          <w:snapToGrid w:val="0"/>
          <w:szCs w:val="32"/>
        </w:rPr>
        <w:t>围绕一条主线：</w:t>
      </w:r>
    </w:p>
    <w:p>
      <w:pPr>
        <w:ind w:firstLine="643"/>
        <w:rPr>
          <w:rFonts w:ascii="仿宋_GB2312" w:hAnsi="仿宋" w:cs="Times New Roman"/>
          <w:snapToGrid w:val="0"/>
          <w:szCs w:val="32"/>
        </w:rPr>
      </w:pPr>
      <w:r>
        <w:rPr>
          <w:rFonts w:hint="eastAsia" w:ascii="仿宋_GB2312" w:hAnsi="仿宋" w:cs="Times New Roman"/>
          <w:b/>
          <w:bCs/>
          <w:snapToGrid w:val="0"/>
          <w:szCs w:val="32"/>
        </w:rPr>
        <w:t>走双创（创新创业）强区之路，实现绿色高质量发展。</w:t>
      </w:r>
      <w:r>
        <w:rPr>
          <w:rFonts w:hint="eastAsia" w:ascii="仿宋_GB2312" w:hAnsi="仿宋" w:cs="Times New Roman"/>
          <w:snapToGrid w:val="0"/>
          <w:szCs w:val="32"/>
        </w:rPr>
        <w:t>就是要从以传统动能、存量产业为主导向新动能引育、新业态培育为主导转变，就是要从以科技创新资源集聚为目标向以创新创业生态构建为目标转变，就是要从以土地供应、政策优惠、投资拉动为路径向以场景供给、制度创新、服务优化为路径转变，实现绿色高质量发展。</w:t>
      </w:r>
    </w:p>
    <w:p>
      <w:pPr>
        <w:ind w:firstLine="627"/>
        <w:rPr>
          <w:rFonts w:ascii="仿宋_GB2312" w:hAnsi="仿宋" w:cs="Times New Roman"/>
          <w:b/>
          <w:spacing w:val="-4"/>
          <w:kern w:val="0"/>
          <w:szCs w:val="32"/>
        </w:rPr>
      </w:pPr>
      <w:r>
        <w:rPr>
          <w:rFonts w:hint="eastAsia" w:ascii="仿宋_GB2312" w:hAnsi="仿宋" w:cs="Times New Roman"/>
          <w:b/>
          <w:spacing w:val="-4"/>
          <w:kern w:val="0"/>
          <w:szCs w:val="32"/>
        </w:rPr>
        <w:t>坚持三化驱动：</w:t>
      </w:r>
    </w:p>
    <w:p>
      <w:pPr>
        <w:ind w:firstLine="627"/>
        <w:rPr>
          <w:rFonts w:ascii="仿宋_GB2312" w:hAnsi="仿宋" w:cs="Times New Roman"/>
          <w:spacing w:val="-4"/>
          <w:kern w:val="0"/>
          <w:szCs w:val="32"/>
        </w:rPr>
      </w:pPr>
      <w:r>
        <w:rPr>
          <w:rFonts w:hint="eastAsia" w:ascii="仿宋_GB2312" w:hAnsi="仿宋" w:cs="Times New Roman"/>
          <w:b/>
          <w:bCs/>
          <w:spacing w:val="-4"/>
          <w:kern w:val="0"/>
          <w:szCs w:val="32"/>
        </w:rPr>
        <w:t>产业高端化。</w:t>
      </w:r>
      <w:r>
        <w:rPr>
          <w:rFonts w:hint="eastAsia" w:ascii="仿宋_GB2312" w:hAnsi="仿宋" w:cs="Times New Roman"/>
          <w:spacing w:val="-4"/>
          <w:kern w:val="0"/>
          <w:szCs w:val="32"/>
        </w:rPr>
        <w:t>构建“机会引领、优势提升、需求驱动”的新型产业体系，培育具有爆发式成长潜力的新业态、新赛道，推进传统优势产业与新技术、新业态融合发展实现转型提升，探索产业发展新路径、新招法，增强产业新动能对全区经济社会发展的全面支撑。</w:t>
      </w:r>
    </w:p>
    <w:p>
      <w:pPr>
        <w:ind w:firstLine="627"/>
        <w:rPr>
          <w:rFonts w:ascii="仿宋_GB2312" w:hAnsi="仿宋" w:cs="Times New Roman"/>
          <w:spacing w:val="-4"/>
          <w:kern w:val="0"/>
          <w:szCs w:val="32"/>
        </w:rPr>
      </w:pPr>
      <w:bookmarkStart w:id="24" w:name="_Hlk38194793"/>
      <w:r>
        <w:rPr>
          <w:rFonts w:hint="eastAsia" w:ascii="仿宋_GB2312" w:hAnsi="仿宋" w:cs="Times New Roman"/>
          <w:b/>
          <w:bCs/>
          <w:spacing w:val="-4"/>
          <w:kern w:val="0"/>
          <w:szCs w:val="32"/>
        </w:rPr>
        <w:t>创新生态化。</w:t>
      </w:r>
      <w:r>
        <w:rPr>
          <w:rFonts w:hint="eastAsia" w:ascii="仿宋_GB2312" w:hAnsi="仿宋" w:cs="Times New Roman"/>
          <w:spacing w:val="-4"/>
          <w:kern w:val="0"/>
          <w:szCs w:val="32"/>
        </w:rPr>
        <w:t>营造以创新型企业成长为核心、以新研发和新服务为支撑的创新创业生态，发展高端创业壮大创新型企业群体规模，推进新型研发赋能高新技术企业，提升创新创业服务市场化、专业化水平，增强科技创新对经济增长、产业发展的驱动作用。</w:t>
      </w:r>
    </w:p>
    <w:bookmarkEnd w:id="24"/>
    <w:p>
      <w:pPr>
        <w:ind w:firstLine="643"/>
        <w:rPr>
          <w:rFonts w:ascii="仿宋_GB2312" w:hAnsi="仿宋" w:cs="Times New Roman"/>
          <w:spacing w:val="-4"/>
          <w:kern w:val="0"/>
          <w:szCs w:val="32"/>
        </w:rPr>
      </w:pPr>
      <w:bookmarkStart w:id="25" w:name="_Hlk37873972"/>
      <w:r>
        <w:rPr>
          <w:rFonts w:hint="eastAsia" w:ascii="仿宋_GB2312" w:hAnsi="仿宋" w:cs="Times New Roman"/>
          <w:b/>
          <w:bCs/>
          <w:snapToGrid w:val="0"/>
          <w:szCs w:val="32"/>
        </w:rPr>
        <w:t>城市品质化。</w:t>
      </w:r>
      <w:r>
        <w:rPr>
          <w:rFonts w:hint="eastAsia" w:ascii="仿宋_GB2312" w:hAnsi="仿宋" w:cs="Times New Roman"/>
          <w:snapToGrid w:val="0"/>
          <w:szCs w:val="32"/>
        </w:rPr>
        <w:t>把握天津城市发展和空间重构机遇，</w:t>
      </w:r>
      <w:r>
        <w:rPr>
          <w:rFonts w:hint="eastAsia" w:ascii="仿宋_GB2312" w:hAnsi="仿宋" w:cs="Times New Roman"/>
          <w:spacing w:val="-4"/>
          <w:kern w:val="0"/>
          <w:szCs w:val="32"/>
        </w:rPr>
        <w:t>发挥区位优势，</w:t>
      </w:r>
      <w:r>
        <w:rPr>
          <w:rFonts w:hint="eastAsia" w:ascii="仿宋_GB2312" w:hAnsi="仿宋" w:cs="Times New Roman"/>
          <w:snapToGrid w:val="0"/>
          <w:szCs w:val="32"/>
        </w:rPr>
        <w:t>以</w:t>
      </w:r>
      <w:r>
        <w:rPr>
          <w:rFonts w:hint="eastAsia" w:ascii="仿宋_GB2312" w:hAnsi="仿宋" w:cs="Times New Roman"/>
          <w:spacing w:val="-4"/>
          <w:kern w:val="0"/>
          <w:szCs w:val="32"/>
        </w:rPr>
        <w:t>融入主城、推进主城品质提升为目标，加强城市管理，提升城市功能和服务能力，建设品质优越</w:t>
      </w:r>
      <w:r>
        <w:rPr>
          <w:rFonts w:hint="eastAsia" w:ascii="仿宋_GB2312" w:cs="Times New Roman"/>
          <w:bCs/>
          <w:spacing w:val="-4"/>
          <w:kern w:val="0"/>
        </w:rPr>
        <w:t>的智慧都市新区，</w:t>
      </w:r>
      <w:r>
        <w:rPr>
          <w:rFonts w:hint="eastAsia" w:ascii="仿宋_GB2312" w:hAnsi="仿宋" w:cs="Times New Roman"/>
          <w:spacing w:val="-4"/>
          <w:kern w:val="0"/>
          <w:szCs w:val="32"/>
        </w:rPr>
        <w:t>增强区域对高端要素的吸引力，承接新增人口居住和服务需求，以城市建设为契机放大经济社会发展空间和潜在红利</w:t>
      </w:r>
      <w:r>
        <w:rPr>
          <w:rFonts w:hint="eastAsia" w:ascii="仿宋_GB2312" w:cs="Times New Roman"/>
          <w:bCs/>
          <w:spacing w:val="-4"/>
          <w:kern w:val="0"/>
        </w:rPr>
        <w:t>。</w:t>
      </w:r>
    </w:p>
    <w:p>
      <w:pPr>
        <w:ind w:firstLine="627"/>
        <w:rPr>
          <w:rFonts w:ascii="仿宋_GB2312" w:hAnsi="仿宋" w:cs="Times New Roman"/>
          <w:b/>
          <w:spacing w:val="-4"/>
          <w:kern w:val="0"/>
          <w:szCs w:val="32"/>
        </w:rPr>
      </w:pPr>
      <w:r>
        <w:rPr>
          <w:rFonts w:hint="eastAsia" w:ascii="仿宋_GB2312" w:hAnsi="仿宋" w:cs="Times New Roman"/>
          <w:b/>
          <w:spacing w:val="-4"/>
          <w:kern w:val="0"/>
          <w:szCs w:val="32"/>
        </w:rPr>
        <w:t>打造三宜环境：</w:t>
      </w:r>
    </w:p>
    <w:p>
      <w:pPr>
        <w:ind w:firstLine="627"/>
        <w:rPr>
          <w:rFonts w:ascii="仿宋_GB2312" w:hAnsi="仿宋" w:cs="Times New Roman"/>
          <w:spacing w:val="-4"/>
          <w:kern w:val="0"/>
          <w:szCs w:val="32"/>
        </w:rPr>
      </w:pPr>
      <w:r>
        <w:rPr>
          <w:rFonts w:hint="eastAsia" w:ascii="仿宋_GB2312" w:hAnsi="仿宋" w:cs="Times New Roman"/>
          <w:b/>
          <w:bCs/>
          <w:spacing w:val="-4"/>
          <w:kern w:val="0"/>
          <w:szCs w:val="32"/>
        </w:rPr>
        <w:t>绿色宜居环境。</w:t>
      </w:r>
      <w:r>
        <w:rPr>
          <w:rFonts w:hint="eastAsia" w:ascii="仿宋_GB2312" w:hAnsi="仿宋" w:cs="Times New Roman"/>
          <w:spacing w:val="-4"/>
          <w:kern w:val="0"/>
          <w:szCs w:val="32"/>
        </w:rPr>
        <w:t>依托生态环境优美和空间区位优越的资源禀赋，进一步增强生产、生活、生态空间布局合理性，提升公共服务品质，加强生态屏障建设和环境保护，打造以人为本、服务为先、集约有序、舒适和谐的宜居环境。</w:t>
      </w:r>
    </w:p>
    <w:bookmarkEnd w:id="25"/>
    <w:p>
      <w:pPr>
        <w:ind w:firstLine="627"/>
        <w:rPr>
          <w:rFonts w:ascii="仿宋_GB2312" w:hAnsi="仿宋" w:cs="Times New Roman"/>
          <w:spacing w:val="-4"/>
          <w:kern w:val="0"/>
          <w:szCs w:val="32"/>
        </w:rPr>
      </w:pPr>
      <w:bookmarkStart w:id="26" w:name="_Hlk38194806"/>
      <w:r>
        <w:rPr>
          <w:rFonts w:hint="eastAsia" w:ascii="仿宋_GB2312" w:hAnsi="仿宋" w:cs="Times New Roman"/>
          <w:b/>
          <w:bCs/>
          <w:spacing w:val="-4"/>
          <w:kern w:val="0"/>
          <w:szCs w:val="32"/>
        </w:rPr>
        <w:t>人才宜业环境。</w:t>
      </w:r>
      <w:r>
        <w:rPr>
          <w:rFonts w:hint="eastAsia" w:ascii="仿宋_GB2312" w:hAnsi="仿宋" w:cs="Times New Roman"/>
          <w:spacing w:val="-4"/>
          <w:kern w:val="0"/>
          <w:szCs w:val="32"/>
        </w:rPr>
        <w:t>以促进干事创业为导向，营造良好的城市文化和创业环境，激发和保护企业家精神，大力实施“创业动员”，以高端创业催生新兴产业，以产业升级扩大就业供给，打造创业者有平台、就业者有机会的宜业环境。</w:t>
      </w:r>
    </w:p>
    <w:bookmarkEnd w:id="26"/>
    <w:p>
      <w:pPr>
        <w:ind w:firstLine="627"/>
        <w:rPr>
          <w:rFonts w:ascii="仿宋_GB2312" w:hAnsi="仿宋" w:cs="Times New Roman"/>
          <w:spacing w:val="-4"/>
          <w:kern w:val="0"/>
          <w:szCs w:val="32"/>
        </w:rPr>
      </w:pPr>
      <w:r>
        <w:rPr>
          <w:rFonts w:hint="eastAsia" w:ascii="仿宋_GB2312" w:hAnsi="仿宋" w:cs="Times New Roman"/>
          <w:b/>
          <w:bCs/>
          <w:spacing w:val="-4"/>
          <w:kern w:val="0"/>
          <w:szCs w:val="32"/>
        </w:rPr>
        <w:t>企业宜商环境。</w:t>
      </w:r>
      <w:r>
        <w:rPr>
          <w:rFonts w:hint="eastAsia" w:ascii="仿宋_GB2312" w:hAnsi="仿宋" w:cs="Times New Roman"/>
          <w:spacing w:val="-4"/>
          <w:kern w:val="0"/>
          <w:szCs w:val="32"/>
        </w:rPr>
        <w:t>以创新制度供给为核心，面向新经济、新业态完善企业准入和行业管理制度，面向新组织、新需求提升科技创新和开放协同水平，擦亮招商引资“金字招牌”，打造投资便利、审慎包容、开放共赢的宜商环境。</w:t>
      </w:r>
    </w:p>
    <w:p>
      <w:pPr>
        <w:pStyle w:val="3"/>
      </w:pPr>
      <w:bookmarkStart w:id="27" w:name="_Toc48224380"/>
      <w:r>
        <w:rPr>
          <w:rFonts w:hint="eastAsia"/>
        </w:rPr>
        <w:t>二、战略定位</w:t>
      </w:r>
      <w:bookmarkEnd w:id="27"/>
    </w:p>
    <w:p>
      <w:pPr>
        <w:ind w:firstLine="640"/>
        <w:rPr>
          <w:rFonts w:ascii="仿宋_GB2312" w:hAnsi="仿宋"/>
          <w:snapToGrid w:val="0"/>
          <w:szCs w:val="32"/>
        </w:rPr>
      </w:pPr>
      <w:r>
        <w:rPr>
          <w:rFonts w:hint="eastAsia" w:ascii="仿宋_GB2312" w:hAnsi="仿宋"/>
          <w:snapToGrid w:val="0"/>
          <w:szCs w:val="32"/>
        </w:rPr>
        <w:t>“十四五”时期，东丽区总体战略定位是</w:t>
      </w:r>
      <w:r>
        <w:rPr>
          <w:rFonts w:hint="eastAsia" w:ascii="仿宋_GB2312" w:hAnsi="仿宋" w:cs="Times New Roman"/>
          <w:snapToGrid w:val="0"/>
          <w:szCs w:val="32"/>
        </w:rPr>
        <w:t>：</w:t>
      </w:r>
    </w:p>
    <w:p>
      <w:pPr>
        <w:ind w:firstLine="643"/>
        <w:jc w:val="center"/>
        <w:rPr>
          <w:rFonts w:ascii="仿宋_GB2312" w:hAnsi="仿宋" w:cs="Times New Roman"/>
          <w:b/>
          <w:bCs/>
          <w:snapToGrid w:val="0"/>
          <w:szCs w:val="32"/>
        </w:rPr>
      </w:pPr>
      <w:r>
        <w:rPr>
          <w:rFonts w:hint="eastAsia" w:ascii="仿宋_GB2312" w:hAnsi="仿宋" w:cs="Times New Roman"/>
          <w:b/>
          <w:bCs/>
          <w:snapToGrid w:val="0"/>
          <w:szCs w:val="32"/>
        </w:rPr>
        <w:t>引领天津动能转换、具有全国影响力的</w:t>
      </w:r>
    </w:p>
    <w:p>
      <w:pPr>
        <w:ind w:firstLine="643"/>
        <w:jc w:val="center"/>
        <w:rPr>
          <w:rFonts w:ascii="仿宋_GB2312" w:hAnsi="仿宋"/>
          <w:snapToGrid w:val="0"/>
          <w:szCs w:val="32"/>
        </w:rPr>
      </w:pPr>
      <w:r>
        <w:rPr>
          <w:rFonts w:hint="eastAsia" w:ascii="仿宋_GB2312" w:hAnsi="仿宋"/>
          <w:b/>
          <w:bCs/>
          <w:snapToGrid w:val="0"/>
          <w:szCs w:val="32"/>
        </w:rPr>
        <w:t>“科创绿谷·临空新城”</w:t>
      </w:r>
    </w:p>
    <w:p>
      <w:pPr>
        <w:ind w:firstLine="643"/>
        <w:rPr>
          <w:rFonts w:ascii="仿宋_GB2312" w:hAnsi="仿宋"/>
          <w:snapToGrid w:val="0"/>
          <w:szCs w:val="32"/>
        </w:rPr>
      </w:pPr>
      <w:r>
        <w:rPr>
          <w:rFonts w:hint="eastAsia" w:ascii="仿宋_GB2312" w:hAnsi="仿宋"/>
          <w:b/>
          <w:bCs/>
          <w:snapToGrid w:val="0"/>
          <w:szCs w:val="32"/>
        </w:rPr>
        <w:t>——产业转型引领区。</w:t>
      </w:r>
      <w:r>
        <w:rPr>
          <w:rFonts w:hint="eastAsia" w:ascii="仿宋_GB2312" w:hAnsi="仿宋"/>
          <w:snapToGrid w:val="0"/>
          <w:szCs w:val="32"/>
        </w:rPr>
        <w:t>发挥</w:t>
      </w:r>
      <w:r>
        <w:rPr>
          <w:rFonts w:hint="eastAsia" w:ascii="仿宋_GB2312" w:hAnsi="宋体" w:cs="宋体"/>
          <w:kern w:val="0"/>
          <w:szCs w:val="32"/>
        </w:rPr>
        <w:t>传统产业基础雄厚和产业创新潜能突出的叠加优势</w:t>
      </w:r>
      <w:r>
        <w:rPr>
          <w:rFonts w:hint="eastAsia" w:ascii="仿宋_GB2312" w:hAnsi="仿宋"/>
          <w:snapToGrid w:val="0"/>
          <w:szCs w:val="32"/>
        </w:rPr>
        <w:t>，依托临空区位和科技创新资源</w:t>
      </w:r>
      <w:r>
        <w:rPr>
          <w:rFonts w:hint="eastAsia" w:ascii="仿宋_GB2312" w:hAnsi="宋体" w:cs="宋体"/>
          <w:kern w:val="0"/>
          <w:szCs w:val="32"/>
        </w:rPr>
        <w:t>，</w:t>
      </w:r>
      <w:r>
        <w:rPr>
          <w:rFonts w:hint="eastAsia" w:ascii="仿宋_GB2312" w:hAnsi="仿宋"/>
          <w:snapToGrid w:val="0"/>
          <w:szCs w:val="32"/>
        </w:rPr>
        <w:t>以新经济理念为指导，打造新一代汽车技术等新动能产业，引入新技术新模式推进金属冶炼等支柱产业改造提升，引领天津产业转型升级。</w:t>
      </w:r>
    </w:p>
    <w:p>
      <w:pPr>
        <w:ind w:firstLine="643"/>
        <w:rPr>
          <w:rFonts w:ascii="仿宋_GB2312" w:hAnsi="仿宋"/>
          <w:snapToGrid w:val="0"/>
          <w:szCs w:val="32"/>
        </w:rPr>
      </w:pPr>
      <w:bookmarkStart w:id="28" w:name="_Hlk38194810"/>
      <w:r>
        <w:rPr>
          <w:rFonts w:hint="eastAsia" w:ascii="仿宋_GB2312" w:hAnsi="仿宋"/>
          <w:b/>
          <w:bCs/>
          <w:snapToGrid w:val="0"/>
          <w:szCs w:val="32"/>
        </w:rPr>
        <w:t>——创新创业先行区。</w:t>
      </w:r>
      <w:r>
        <w:rPr>
          <w:rFonts w:hint="eastAsia" w:ascii="仿宋_GB2312" w:hAnsi="仿宋"/>
          <w:snapToGrid w:val="0"/>
          <w:szCs w:val="32"/>
        </w:rPr>
        <w:t>用好东丽区科研院所和科技服务资源集聚长板，营造“新创业</w:t>
      </w:r>
      <w:r>
        <w:rPr>
          <w:rFonts w:ascii="仿宋_GB2312" w:hAnsi="仿宋"/>
          <w:snapToGrid w:val="0"/>
          <w:szCs w:val="32"/>
        </w:rPr>
        <w:t>+新研发+新服务”创新创业生态，加快推进科技创新资源</w:t>
      </w:r>
      <w:r>
        <w:rPr>
          <w:rFonts w:hint="eastAsia" w:ascii="仿宋_GB2312" w:hAnsi="仿宋"/>
          <w:snapToGrid w:val="0"/>
          <w:szCs w:val="32"/>
        </w:rPr>
        <w:t>向</w:t>
      </w:r>
      <w:r>
        <w:rPr>
          <w:rFonts w:ascii="仿宋_GB2312" w:hAnsi="仿宋"/>
          <w:snapToGrid w:val="0"/>
          <w:szCs w:val="32"/>
        </w:rPr>
        <w:t>现实生产力</w:t>
      </w:r>
      <w:r>
        <w:rPr>
          <w:rFonts w:hint="eastAsia" w:ascii="仿宋_GB2312" w:hAnsi="仿宋"/>
          <w:snapToGrid w:val="0"/>
          <w:szCs w:val="32"/>
        </w:rPr>
        <w:t>转化</w:t>
      </w:r>
      <w:r>
        <w:rPr>
          <w:rFonts w:ascii="仿宋_GB2312" w:hAnsi="仿宋"/>
          <w:snapToGrid w:val="0"/>
          <w:szCs w:val="32"/>
        </w:rPr>
        <w:t>，率先探索以创新创业为引领的绿色高质量发展路径。</w:t>
      </w:r>
    </w:p>
    <w:bookmarkEnd w:id="28"/>
    <w:p>
      <w:pPr>
        <w:ind w:firstLine="643"/>
        <w:rPr>
          <w:rFonts w:ascii="仿宋_GB2312" w:hAnsi="仿宋"/>
          <w:snapToGrid w:val="0"/>
          <w:szCs w:val="32"/>
        </w:rPr>
      </w:pPr>
      <w:r>
        <w:rPr>
          <w:rFonts w:hint="eastAsia" w:ascii="仿宋_GB2312" w:hAnsi="仿宋"/>
          <w:b/>
          <w:bCs/>
          <w:snapToGrid w:val="0"/>
          <w:szCs w:val="32"/>
        </w:rPr>
        <w:t>——绿色生态宜居区。</w:t>
      </w:r>
      <w:r>
        <w:rPr>
          <w:rFonts w:hint="eastAsia" w:ascii="仿宋_GB2312" w:hAnsi="仿宋"/>
          <w:snapToGrid w:val="0"/>
          <w:szCs w:val="32"/>
        </w:rPr>
        <w:t>落实乡村振兴战略部署，围绕天津市绿色生态屏障建设要求，推进产业生态化、生态产业化，全面提升东丽城区形象气质，争做天津市绿色发展、生态宜居的标杆区域。</w:t>
      </w:r>
    </w:p>
    <w:p>
      <w:pPr>
        <w:ind w:firstLine="643"/>
        <w:rPr>
          <w:rFonts w:ascii="仿宋_GB2312" w:hAnsi="仿宋"/>
          <w:snapToGrid w:val="0"/>
          <w:szCs w:val="32"/>
        </w:rPr>
      </w:pPr>
      <w:bookmarkStart w:id="29" w:name="_Hlk37874050"/>
      <w:r>
        <w:rPr>
          <w:rFonts w:hint="eastAsia" w:ascii="仿宋_GB2312" w:hAnsi="仿宋"/>
          <w:b/>
          <w:bCs/>
          <w:snapToGrid w:val="0"/>
          <w:szCs w:val="32"/>
        </w:rPr>
        <w:t>——都市新城示范区。</w:t>
      </w:r>
      <w:r>
        <w:rPr>
          <w:rFonts w:hint="eastAsia" w:ascii="仿宋_GB2312" w:hAnsi="仿宋"/>
          <w:snapToGrid w:val="0"/>
          <w:szCs w:val="32"/>
        </w:rPr>
        <w:t>服务主城区城市品质提升，立足全域城市化建设基础，提高城市管理水平，推进新型基础设施建设应用，加大优质公共服务供给，融入天津城市发展大格局，为都市新城建设作出示范。</w:t>
      </w:r>
    </w:p>
    <w:bookmarkEnd w:id="29"/>
    <w:p>
      <w:pPr>
        <w:pStyle w:val="3"/>
      </w:pPr>
      <w:bookmarkStart w:id="30" w:name="_Toc48224381"/>
      <w:r>
        <w:rPr>
          <w:rFonts w:hint="eastAsia"/>
        </w:rPr>
        <w:t>三、发展目标</w:t>
      </w:r>
      <w:bookmarkEnd w:id="30"/>
    </w:p>
    <w:p>
      <w:pPr>
        <w:ind w:firstLine="640"/>
      </w:pPr>
      <w:r>
        <w:rPr>
          <w:rFonts w:hint="eastAsia"/>
        </w:rPr>
        <w:t>通过实施“一三三四六”发展战略</w:t>
      </w:r>
      <w:r>
        <w:rPr>
          <w:rFonts w:hint="eastAsia" w:ascii="仿宋_GB2312" w:hAnsi="仿宋" w:cs="Times New Roman"/>
          <w:spacing w:val="-4"/>
          <w:kern w:val="0"/>
          <w:szCs w:val="32"/>
        </w:rPr>
        <w:t>，</w:t>
      </w:r>
      <w:bookmarkStart w:id="31" w:name="_Hlk33087014"/>
      <w:r>
        <w:rPr>
          <w:rFonts w:hint="eastAsia" w:ascii="仿宋_GB2312" w:hAnsi="仿宋" w:cs="Times New Roman"/>
          <w:spacing w:val="-4"/>
          <w:kern w:val="0"/>
          <w:szCs w:val="32"/>
        </w:rPr>
        <w:t>预计“十四五”期间</w:t>
      </w:r>
      <w:r>
        <w:rPr>
          <w:rFonts w:hint="eastAsia"/>
        </w:rPr>
        <w:t>实现地区生产总值年均增速6%-</w:t>
      </w:r>
      <w:r>
        <w:t>7%</w:t>
      </w:r>
      <w:r>
        <w:rPr>
          <w:rFonts w:hint="eastAsia"/>
        </w:rPr>
        <w:t>左右，</w:t>
      </w:r>
      <w:bookmarkEnd w:id="31"/>
      <w:r>
        <w:rPr>
          <w:rFonts w:hint="eastAsia"/>
        </w:rPr>
        <w:t>经济产业、科技创新、城市建设、民生福祉、绿色生态、改革开放实现全面发展。</w:t>
      </w:r>
    </w:p>
    <w:p>
      <w:pPr>
        <w:ind w:firstLine="643"/>
      </w:pPr>
      <w:r>
        <w:rPr>
          <w:rFonts w:hint="eastAsia"/>
          <w:b/>
          <w:bCs/>
        </w:rPr>
        <w:t>经济发展质量显著提升。</w:t>
      </w:r>
      <w:r>
        <w:rPr>
          <w:rFonts w:hint="eastAsia"/>
          <w:bCs/>
        </w:rPr>
        <w:t>新旧动能转换取得明显突破，产业结构全面优化，一个千亿级、四个百亿级产业集群建设目标基本实现，“一核三极”产业布局初步形成，战略新兴产业增加值占规模以上工业增加值比重达</w:t>
      </w:r>
      <w:r>
        <w:rPr>
          <w:bCs/>
        </w:rPr>
        <w:t>45%</w:t>
      </w:r>
      <w:r>
        <w:rPr>
          <w:rFonts w:hint="eastAsia"/>
          <w:bCs/>
        </w:rPr>
        <w:t>以上，高技术制造业增加值占工业增加值比重达</w:t>
      </w:r>
      <w:r>
        <w:rPr>
          <w:bCs/>
        </w:rPr>
        <w:t>30%</w:t>
      </w:r>
      <w:r>
        <w:rPr>
          <w:rFonts w:hint="eastAsia"/>
          <w:bCs/>
        </w:rPr>
        <w:t>以上，高技术服务业增加值及以互联网和相关服务业为代表的现代新兴服务业增加值占服务业增加值比重达</w:t>
      </w:r>
      <w:r>
        <w:rPr>
          <w:bCs/>
        </w:rPr>
        <w:t>30%</w:t>
      </w:r>
      <w:r>
        <w:rPr>
          <w:rFonts w:hint="eastAsia"/>
          <w:bCs/>
        </w:rPr>
        <w:t>以上。</w:t>
      </w:r>
    </w:p>
    <w:p>
      <w:pPr>
        <w:ind w:firstLine="643"/>
      </w:pPr>
      <w:r>
        <w:rPr>
          <w:rFonts w:hint="eastAsia"/>
          <w:b/>
          <w:bCs/>
        </w:rPr>
        <w:t>创新创业生态明显优化。</w:t>
      </w:r>
      <w:r>
        <w:rPr>
          <w:rFonts w:hint="eastAsia"/>
        </w:rPr>
        <w:t>创新主体数量大幅增长，国家高新技术企业和瞪羚企业基本实现倍增，独角兽企业实现零的突破，科研院所对产业支撑能力不断加强，创新创业载体与双创服务平台服务能力显著提升，累计引进“两院”院士等高层次人才超过</w:t>
      </w:r>
      <w:r>
        <w:t>150</w:t>
      </w:r>
      <w:r>
        <w:rPr>
          <w:rFonts w:hint="eastAsia"/>
        </w:rPr>
        <w:t>人，</w:t>
      </w:r>
      <w:r>
        <w:rPr>
          <w:rFonts w:hint="eastAsia"/>
          <w:bCs/>
        </w:rPr>
        <w:t>研发经费支出占地区生产总值的比重达到</w:t>
      </w:r>
      <w:r>
        <w:rPr>
          <w:bCs/>
        </w:rPr>
        <w:t>3%</w:t>
      </w:r>
      <w:r>
        <w:rPr>
          <w:rFonts w:hint="eastAsia"/>
          <w:bCs/>
        </w:rPr>
        <w:t>。</w:t>
      </w:r>
    </w:p>
    <w:p>
      <w:pPr>
        <w:ind w:firstLine="643"/>
      </w:pPr>
      <w:r>
        <w:rPr>
          <w:rFonts w:hint="eastAsia"/>
          <w:b/>
          <w:bCs/>
        </w:rPr>
        <w:t>城市功能品质不断提高。</w:t>
      </w:r>
      <w:r>
        <w:rPr>
          <w:rFonts w:hint="eastAsia"/>
        </w:rPr>
        <w:t>融入主城、品质优越的智慧都市新区基本建成，城市综合服务功能显著增强，“两带两城四区”城市格局初步形成，城市管理系统化、智能化、市场化、精细化水平大幅提升，人口市民化程度显著提高，达到海绵城市目标要求的建成区面积比例超过</w:t>
      </w:r>
      <w:r>
        <w:t>50%</w:t>
      </w:r>
      <w:r>
        <w:rPr>
          <w:rFonts w:hint="eastAsia"/>
        </w:rPr>
        <w:t>，新建城市地下综合管廊长度超过</w:t>
      </w:r>
      <w:r>
        <w:t>10</w:t>
      </w:r>
      <w:r>
        <w:rPr>
          <w:rFonts w:hint="eastAsia"/>
        </w:rPr>
        <w:t>公里，公路路网密度达到</w:t>
      </w:r>
      <w:r>
        <w:t>80</w:t>
      </w:r>
      <w:r>
        <w:rPr>
          <w:rFonts w:hint="eastAsia"/>
        </w:rPr>
        <w:t>公里</w:t>
      </w:r>
      <w:r>
        <w:t>/</w:t>
      </w:r>
      <w:r>
        <w:rPr>
          <w:rFonts w:hint="eastAsia"/>
        </w:rPr>
        <w:t>百平方公里。</w:t>
      </w:r>
    </w:p>
    <w:p>
      <w:pPr>
        <w:ind w:firstLine="643"/>
      </w:pPr>
      <w:r>
        <w:rPr>
          <w:rFonts w:hint="eastAsia"/>
          <w:b/>
          <w:bCs/>
        </w:rPr>
        <w:t>百姓民生福祉持续改善。</w:t>
      </w:r>
      <w:r>
        <w:rPr>
          <w:rFonts w:hint="eastAsia"/>
        </w:rPr>
        <w:t>夯实宜居、宜业、宜商环境建设基础的基本公共服务体系更加健全，优质公共服务资源供需矛盾有效缓解，教育现代化水平不断提升，公共卫生服务体系基本完善，三级公共文体服务网络全面覆盖，社会保障力量不断增强，优质养老服务供给充足，全区常住人口达到</w:t>
      </w:r>
      <w:r>
        <w:t>100</w:t>
      </w:r>
      <w:r>
        <w:rPr>
          <w:rFonts w:hint="eastAsia"/>
        </w:rPr>
        <w:t>万人，居民人均可支配收入达到</w:t>
      </w:r>
      <w:r>
        <w:t>57000</w:t>
      </w:r>
      <w:r>
        <w:rPr>
          <w:rFonts w:hint="eastAsia"/>
        </w:rPr>
        <w:t>元。</w:t>
      </w:r>
    </w:p>
    <w:p>
      <w:pPr>
        <w:ind w:firstLine="643"/>
      </w:pPr>
      <w:r>
        <w:rPr>
          <w:rFonts w:hint="eastAsia"/>
          <w:b/>
          <w:bCs/>
        </w:rPr>
        <w:t>绿色发展体系初步形成。</w:t>
      </w:r>
      <w:r>
        <w:rPr>
          <w:rFonts w:hint="eastAsia"/>
        </w:rPr>
        <w:t>绿色宜居区基本建成，绿色生态屏障建设有序推进，绿色生产、生活体系初步形成，环境污染防控取得显著成效，生态屏障区内蓝绿空间比例达到</w:t>
      </w:r>
      <w:r>
        <w:t>65%</w:t>
      </w:r>
      <w:r>
        <w:rPr>
          <w:rFonts w:hint="eastAsia"/>
        </w:rPr>
        <w:t>，单位</w:t>
      </w:r>
      <w:r>
        <w:t>GDP</w:t>
      </w:r>
      <w:r>
        <w:rPr>
          <w:rFonts w:hint="eastAsia"/>
        </w:rPr>
        <w:t>能耗、主要污染物排放、</w:t>
      </w:r>
      <w:r>
        <w:t>PM</w:t>
      </w:r>
      <w:r>
        <w:rPr>
          <w:vertAlign w:val="subscript"/>
        </w:rPr>
        <w:t>2.5</w:t>
      </w:r>
      <w:r>
        <w:rPr>
          <w:rFonts w:hint="eastAsia"/>
        </w:rPr>
        <w:t>等指标控制在国家及天津市目标范围之内，城镇生活垃圾无害化处理率保持</w:t>
      </w:r>
      <w:r>
        <w:t>100%</w:t>
      </w:r>
      <w:r>
        <w:rPr>
          <w:rFonts w:hint="eastAsia"/>
        </w:rPr>
        <w:t>。</w:t>
      </w:r>
    </w:p>
    <w:p>
      <w:pPr>
        <w:ind w:firstLine="643"/>
      </w:pPr>
      <w:r>
        <w:rPr>
          <w:rFonts w:hint="eastAsia"/>
          <w:b/>
          <w:bCs/>
        </w:rPr>
        <w:t>改革开放力度持续加强。</w:t>
      </w:r>
      <w:r>
        <w:rPr>
          <w:rFonts w:hint="eastAsia" w:ascii="仿宋_GB2312" w:hAnsi="仿宋" w:cs="Times New Roman"/>
          <w:spacing w:val="-4"/>
          <w:kern w:val="0"/>
          <w:szCs w:val="32"/>
        </w:rPr>
        <w:t>投资便利、审慎包容、开放共赢的宜商环境基本形成</w:t>
      </w:r>
      <w:r>
        <w:rPr>
          <w:rFonts w:hint="eastAsia"/>
        </w:rPr>
        <w:t>，</w:t>
      </w:r>
      <w:r>
        <w:rPr>
          <w:rFonts w:hint="eastAsia" w:ascii="仿宋_GB2312" w:hAnsi="宋体" w:cs="宋体"/>
          <w:bCs/>
          <w:spacing w:val="-4"/>
          <w:kern w:val="0"/>
        </w:rPr>
        <w:t>制约东丽区新经济、新动能发展的</w:t>
      </w:r>
      <w:r>
        <w:rPr>
          <w:rFonts w:hint="eastAsia"/>
        </w:rPr>
        <w:t>体制机制障碍有效破解，服务京津冀、链接海内外的重要枢纽节点功能不断增强，经济社会发展活力充分释放，民营经济增加值占地区生产总值比重超过</w:t>
      </w:r>
      <w:r>
        <w:t>55%</w:t>
      </w:r>
      <w:r>
        <w:rPr>
          <w:rFonts w:hint="eastAsia"/>
        </w:rPr>
        <w:t>。</w:t>
      </w:r>
    </w:p>
    <w:p>
      <w:pPr>
        <w:widowControl/>
        <w:ind w:firstLine="0" w:firstLineChars="0"/>
        <w:jc w:val="left"/>
      </w:pPr>
      <w:r>
        <w:br w:type="page"/>
      </w:r>
    </w:p>
    <w:p>
      <w:pPr>
        <w:pStyle w:val="2"/>
      </w:pPr>
      <w:bookmarkStart w:id="32" w:name="_Toc48224382"/>
      <w:r>
        <w:rPr>
          <w:rFonts w:hint="eastAsia"/>
        </w:rPr>
        <w:t>第三章</w:t>
      </w:r>
      <w:r>
        <w:t xml:space="preserve"> </w:t>
      </w:r>
      <w:r>
        <w:rPr>
          <w:rFonts w:hint="eastAsia"/>
        </w:rPr>
        <w:t>动能升级，构建高端高质产业体系</w:t>
      </w:r>
      <w:bookmarkEnd w:id="32"/>
    </w:p>
    <w:p>
      <w:pPr>
        <w:ind w:firstLine="640"/>
        <w:rPr>
          <w:rFonts w:ascii="仿宋_GB2312"/>
          <w:snapToGrid w:val="0"/>
        </w:rPr>
      </w:pPr>
      <w:bookmarkStart w:id="33" w:name="_Hlk45011708"/>
      <w:r>
        <w:rPr>
          <w:rFonts w:hint="eastAsia" w:ascii="仿宋_GB2312"/>
          <w:snapToGrid w:val="0"/>
        </w:rPr>
        <w:t>把握新一轮科技革命和产业变革历史机遇，服务“一基地三区”建设，围绕新动能引育，以找准新经济发展赛道、抢抓爆发式增长机会为抓手，以做强做优实体经济为基础，</w:t>
      </w:r>
      <w:bookmarkEnd w:id="33"/>
      <w:r>
        <w:rPr>
          <w:rFonts w:hint="eastAsia" w:ascii="仿宋_GB2312"/>
          <w:snapToGrid w:val="0"/>
        </w:rPr>
        <w:t>立足天津市“</w:t>
      </w:r>
      <w:r>
        <w:rPr>
          <w:rFonts w:ascii="仿宋_GB2312"/>
          <w:snapToGrid w:val="0"/>
        </w:rPr>
        <w:t>1+</w:t>
      </w:r>
      <w:r>
        <w:rPr>
          <w:snapToGrid w:val="0"/>
        </w:rPr>
        <w:t>3</w:t>
      </w:r>
      <w:r>
        <w:rPr>
          <w:rFonts w:ascii="仿宋_GB2312"/>
          <w:snapToGrid w:val="0"/>
        </w:rPr>
        <w:t>+</w:t>
      </w:r>
      <w:r>
        <w:rPr>
          <w:snapToGrid w:val="0"/>
        </w:rPr>
        <w:t>4</w:t>
      </w:r>
      <w:r>
        <w:rPr>
          <w:rFonts w:hint="eastAsia" w:ascii="仿宋_GB2312"/>
          <w:snapToGrid w:val="0"/>
        </w:rPr>
        <w:t>”新型产业体系，构建东丽区“</w:t>
      </w:r>
      <w:r>
        <w:rPr>
          <w:snapToGrid w:val="0"/>
        </w:rPr>
        <w:t>311</w:t>
      </w:r>
      <w:r>
        <w:rPr>
          <w:rFonts w:hint="eastAsia" w:ascii="仿宋_GB2312"/>
          <w:snapToGrid w:val="0"/>
        </w:rPr>
        <w:t>”高端高质高新现代产业体系，健全适应新经济要求的产业服务体系，加快培育战略性新兴产业和新业态，转型提升传统优势领域，探索具有东丽特色的产业新动能发展路径，打造天津产业转型引领区。</w:t>
      </w:r>
    </w:p>
    <w:p>
      <w:pPr>
        <w:pStyle w:val="3"/>
        <w:rPr>
          <w:b w:val="0"/>
        </w:rPr>
      </w:pPr>
      <w:bookmarkStart w:id="34" w:name="_Toc48224383"/>
      <w:r>
        <w:rPr>
          <w:rFonts w:hint="eastAsia"/>
        </w:rPr>
        <w:t>一、</w:t>
      </w:r>
      <w:r>
        <w:t>打造三大爆发点产业</w:t>
      </w:r>
      <w:bookmarkEnd w:id="34"/>
    </w:p>
    <w:p>
      <w:pPr>
        <w:ind w:firstLine="640"/>
        <w:rPr>
          <w:rFonts w:ascii="仿宋_GB2312"/>
          <w:snapToGrid w:val="0"/>
        </w:rPr>
      </w:pPr>
      <w:r>
        <w:rPr>
          <w:rFonts w:hint="eastAsia" w:ascii="仿宋_GB2312" w:hAnsi="宋体" w:cs="宋体"/>
          <w:snapToGrid w:val="0"/>
        </w:rPr>
        <w:t>按照天津市新动能引育计划和战略性新兴产业提升发展行动计划的要求，立足东丽区产业基础和科技创新资源，</w:t>
      </w:r>
      <w:bookmarkStart w:id="35" w:name="_Hlk43570014"/>
      <w:r>
        <w:rPr>
          <w:rFonts w:hint="eastAsia" w:ascii="仿宋_GB2312" w:hAnsi="宋体" w:cs="宋体"/>
          <w:snapToGrid w:val="0"/>
        </w:rPr>
        <w:t>把握智能网联汽车、智能制造、智慧医疗服务等新经济领域爆发式增长机会，抢抓新赛道、培育新业态，重点打造新一代汽车技术、高端装备制造和生物医药三大机会引领的爆发点产业，培育自动驾驶解决方案、</w:t>
      </w:r>
      <w:r>
        <w:rPr>
          <w:rFonts w:hint="eastAsia" w:ascii="仿宋_GB2312"/>
          <w:snapToGrid w:val="0"/>
        </w:rPr>
        <w:t>智能驾驶舱、新能源驱动电机、工业机器人、智慧机场设备、体外诊断设备和智慧康养</w:t>
      </w:r>
      <w:r>
        <w:rPr>
          <w:rFonts w:hint="eastAsia" w:ascii="仿宋_GB2312" w:hAnsi="宋体" w:cs="宋体"/>
          <w:snapToGrid w:val="0"/>
        </w:rPr>
        <w:t>七大新业态。</w:t>
      </w:r>
    </w:p>
    <w:bookmarkEnd w:id="35"/>
    <w:p>
      <w:pPr>
        <w:ind w:firstLine="643"/>
        <w:rPr>
          <w:rFonts w:ascii="仿宋_GB2312"/>
          <w:snapToGrid w:val="0"/>
        </w:rPr>
      </w:pPr>
      <w:r>
        <w:rPr>
          <w:rFonts w:hint="eastAsia" w:ascii="仿宋_GB2312"/>
          <w:b/>
          <w:bCs/>
          <w:snapToGrid w:val="0"/>
        </w:rPr>
        <w:t>新一代汽车技术产业。</w:t>
      </w:r>
      <w:r>
        <w:rPr>
          <w:rFonts w:hint="eastAsia" w:ascii="仿宋_GB2312"/>
          <w:snapToGrid w:val="0"/>
        </w:rPr>
        <w:t>依托东丽区汽车产业基础和智能网联汽车测试道路场景优势，引导汽车产业数字化升级，推进智能网联汽车产业园、新能源汽车检测中心等项目建设，重点发展自动驾驶解决方案、智能驾驶舱和新能源三电系统。</w:t>
      </w:r>
      <w:r>
        <w:rPr>
          <w:rFonts w:hint="eastAsia" w:ascii="仿宋_GB2312"/>
          <w:b/>
          <w:bCs/>
          <w:snapToGrid w:val="0"/>
        </w:rPr>
        <w:t>自动驾驶解决方案</w:t>
      </w:r>
      <w:r>
        <w:rPr>
          <w:rFonts w:hint="eastAsia" w:ascii="仿宋_GB2312"/>
          <w:snapToGrid w:val="0"/>
        </w:rPr>
        <w:t>领域，以</w:t>
      </w:r>
      <w:r>
        <w:rPr>
          <w:rFonts w:hint="eastAsia"/>
          <w:snapToGrid w:val="0"/>
        </w:rPr>
        <w:t>高级驾驶辅助</w:t>
      </w:r>
      <w:r>
        <w:rPr>
          <w:rFonts w:hint="eastAsia" w:ascii="仿宋_GB2312"/>
          <w:snapToGrid w:val="0"/>
        </w:rPr>
        <w:t>系统为先导，建设自动驾驶共性技术研发平台，开展自动驾驶应用示范。</w:t>
      </w:r>
      <w:r>
        <w:rPr>
          <w:rFonts w:hint="eastAsia" w:ascii="仿宋_GB2312"/>
          <w:b/>
          <w:bCs/>
          <w:snapToGrid w:val="0"/>
        </w:rPr>
        <w:t>智能驾驶舱</w:t>
      </w:r>
      <w:r>
        <w:rPr>
          <w:rFonts w:hint="eastAsia" w:ascii="仿宋_GB2312"/>
          <w:snapToGrid w:val="0"/>
        </w:rPr>
        <w:t>领域，以高精度车载导航为切入点，引入行业领军和高端创业企业，建设汽车电子创新中心等平台，带动本地汽车电子企业转型升级。</w:t>
      </w:r>
      <w:r>
        <w:rPr>
          <w:rFonts w:hint="eastAsia" w:ascii="仿宋_GB2312"/>
          <w:b/>
          <w:bCs/>
          <w:snapToGrid w:val="0"/>
        </w:rPr>
        <w:t>新能源三电系统</w:t>
      </w:r>
      <w:r>
        <w:rPr>
          <w:rFonts w:hint="eastAsia" w:ascii="仿宋_GB2312"/>
          <w:snapToGrid w:val="0"/>
        </w:rPr>
        <w:t>领域，以驱动电机为突破口，加大技术和资金支持力度，推进电装电机等重点项目落地，同时前瞻布局氢燃料电池等前沿领域，加快推进氢能科技园建设。到</w:t>
      </w:r>
      <w:r>
        <w:rPr>
          <w:snapToGrid w:val="0"/>
        </w:rPr>
        <w:t>2025</w:t>
      </w:r>
      <w:r>
        <w:rPr>
          <w:rFonts w:hint="eastAsia" w:ascii="仿宋_GB2312"/>
          <w:snapToGrid w:val="0"/>
        </w:rPr>
        <w:t>年，形成百亿级新一代汽车技术产业集群，建成北方重要的新一代汽车技术产业示范基地。</w:t>
      </w:r>
    </w:p>
    <w:p>
      <w:pPr>
        <w:ind w:firstLine="643"/>
        <w:rPr>
          <w:rFonts w:ascii="仿宋_GB2312"/>
          <w:snapToGrid w:val="0"/>
        </w:rPr>
      </w:pPr>
      <w:r>
        <w:rPr>
          <w:rFonts w:hint="eastAsia" w:ascii="仿宋_GB2312"/>
          <w:b/>
          <w:bCs/>
          <w:snapToGrid w:val="0"/>
        </w:rPr>
        <w:t>高端装备制造产业。</w:t>
      </w:r>
      <w:r>
        <w:rPr>
          <w:rFonts w:hint="eastAsia" w:ascii="仿宋_GB2312"/>
          <w:snapToGrid w:val="0"/>
        </w:rPr>
        <w:t>融入天津市智能制造发展大格局，依托东丽区高端装备、信息技术产业基础，发挥机场场景优势，推进智慧科创产业园和电子信息智能制造创新园建设，重点发展工业机器人和智慧机场设备。</w:t>
      </w:r>
      <w:r>
        <w:rPr>
          <w:rFonts w:hint="eastAsia" w:ascii="仿宋_GB2312"/>
          <w:b/>
          <w:bCs/>
          <w:snapToGrid w:val="0"/>
        </w:rPr>
        <w:t>工业机器人</w:t>
      </w:r>
      <w:r>
        <w:rPr>
          <w:rFonts w:hint="eastAsia" w:ascii="仿宋_GB2312"/>
          <w:snapToGrid w:val="0"/>
        </w:rPr>
        <w:t>领域，以搬运机器人为先导，开展传统制造业“机器换人”工程促进工业机器人应用，依托清华高端院等载体培育和孵化高端创业企业，推进人工智能机器人产业基地、航天科工</w:t>
      </w:r>
      <w:r>
        <w:rPr>
          <w:snapToGrid w:val="0"/>
        </w:rPr>
        <w:t>8359</w:t>
      </w:r>
      <w:r>
        <w:rPr>
          <w:rFonts w:hint="eastAsia" w:ascii="仿宋_GB2312"/>
          <w:snapToGrid w:val="0"/>
        </w:rPr>
        <w:t>所军民融合项目建设。</w:t>
      </w:r>
      <w:r>
        <w:rPr>
          <w:rFonts w:hint="eastAsia" w:ascii="仿宋_GB2312"/>
          <w:b/>
          <w:bCs/>
          <w:snapToGrid w:val="0"/>
        </w:rPr>
        <w:t>智慧机场设备</w:t>
      </w:r>
      <w:r>
        <w:rPr>
          <w:rFonts w:hint="eastAsia" w:ascii="仿宋_GB2312"/>
          <w:snapToGrid w:val="0"/>
        </w:rPr>
        <w:t>领域，以智慧值机服务设备为切入点，搭建智慧机场场景吸引优质企业，加快建设临空智能制造产业园和航空科技智慧谷，推进重点项目和新兴企业落地。到</w:t>
      </w:r>
      <w:r>
        <w:rPr>
          <w:snapToGrid w:val="0"/>
        </w:rPr>
        <w:t>2025</w:t>
      </w:r>
      <w:r>
        <w:rPr>
          <w:rFonts w:hint="eastAsia" w:ascii="仿宋_GB2312"/>
          <w:snapToGrid w:val="0"/>
        </w:rPr>
        <w:t>年，建成百亿级高端装备制造产业集群，打造国内领先的特色高端装备产业基地。</w:t>
      </w:r>
    </w:p>
    <w:p>
      <w:pPr>
        <w:ind w:firstLine="643"/>
        <w:rPr>
          <w:rFonts w:ascii="仿宋_GB2312"/>
          <w:snapToGrid w:val="0"/>
        </w:rPr>
      </w:pPr>
      <w:r>
        <w:rPr>
          <w:rFonts w:hint="eastAsia" w:ascii="仿宋_GB2312"/>
          <w:b/>
          <w:bCs/>
          <w:snapToGrid w:val="0"/>
        </w:rPr>
        <w:t>生物医药产业。</w:t>
      </w:r>
      <w:r>
        <w:rPr>
          <w:rFonts w:hint="eastAsia" w:ascii="仿宋_GB2312"/>
          <w:snapToGrid w:val="0"/>
        </w:rPr>
        <w:t>紧抓“健康中国</w:t>
      </w:r>
      <w:r>
        <w:rPr>
          <w:snapToGrid w:val="0"/>
        </w:rPr>
        <w:t>2030</w:t>
      </w:r>
      <w:r>
        <w:rPr>
          <w:rFonts w:hint="eastAsia" w:ascii="仿宋_GB2312"/>
          <w:snapToGrid w:val="0"/>
        </w:rPr>
        <w:t>”、“互联网+医疗”等战略机遇，依托中科院苏州医工所等创新平台资源，发挥东丽湖环境优美的生态优势，重点发展体外诊断设备和智慧康养。</w:t>
      </w:r>
      <w:r>
        <w:rPr>
          <w:rFonts w:hint="eastAsia" w:ascii="仿宋_GB2312"/>
          <w:b/>
          <w:bCs/>
          <w:snapToGrid w:val="0"/>
        </w:rPr>
        <w:t>体外诊断设备</w:t>
      </w:r>
      <w:r>
        <w:rPr>
          <w:rFonts w:hint="eastAsia" w:ascii="仿宋_GB2312"/>
          <w:snapToGrid w:val="0"/>
        </w:rPr>
        <w:t>领域，以免疫和分子诊断设备为切入点，加大政策供给支持企业开拓市场，打造医疗器械开放实验室和产业工程化平台，推进国际医疗器械产业园、核医疗装备产业园、和治友德总部等项目建设，加速企业成长和院所成果转化。</w:t>
      </w:r>
      <w:r>
        <w:rPr>
          <w:rFonts w:hint="eastAsia" w:ascii="仿宋_GB2312"/>
          <w:b/>
          <w:bCs/>
          <w:snapToGrid w:val="0"/>
        </w:rPr>
        <w:t>智慧康养</w:t>
      </w:r>
      <w:r>
        <w:rPr>
          <w:rFonts w:hint="eastAsia" w:ascii="仿宋_GB2312"/>
          <w:snapToGrid w:val="0"/>
        </w:rPr>
        <w:t>领域，以建设信息化康养社区为切入点，依托东丽湖生态优势打造智慧康养服务场景，加快丽健园建设，引入平台型企业，搭建浪潮、脑工程国际联合研究院等平台机构与区卫健委、网信办等职能部门合作桥梁，推进医疗大数据平台建设，开展智慧健康养老应用试点示范。到</w:t>
      </w:r>
      <w:r>
        <w:rPr>
          <w:snapToGrid w:val="0"/>
        </w:rPr>
        <w:t>2025</w:t>
      </w:r>
      <w:r>
        <w:rPr>
          <w:rFonts w:hint="eastAsia" w:ascii="仿宋_GB2312"/>
          <w:snapToGrid w:val="0"/>
        </w:rPr>
        <w:t>年，形成百亿级生物医药产业集群，建成京津冀智慧医疗服务产业发展高地。</w:t>
      </w:r>
    </w:p>
    <w:p>
      <w:pPr>
        <w:keepNext/>
        <w:keepLines/>
        <w:ind w:firstLine="0" w:firstLineChars="0"/>
        <w:outlineLvl w:val="1"/>
        <w:rPr>
          <w:rFonts w:ascii="楷体" w:hAnsi="楷体" w:eastAsia="楷体" w:cs="Times New Roman"/>
          <w:b/>
          <w:bCs/>
          <w:szCs w:val="32"/>
        </w:rPr>
      </w:pPr>
      <w:bookmarkStart w:id="36" w:name="_Toc48224384"/>
      <w:r>
        <w:rPr>
          <w:rFonts w:hint="eastAsia" w:ascii="楷体" w:hAnsi="楷体" w:eastAsia="楷体" w:cs="Times New Roman"/>
          <w:b/>
          <w:bCs/>
          <w:szCs w:val="32"/>
        </w:rPr>
        <w:t>二、转型提升一大优势产业</w:t>
      </w:r>
      <w:bookmarkEnd w:id="36"/>
    </w:p>
    <w:p>
      <w:pPr>
        <w:ind w:firstLine="640"/>
        <w:rPr>
          <w:rFonts w:ascii="仿宋_GB2312"/>
          <w:snapToGrid w:val="0"/>
        </w:rPr>
      </w:pPr>
      <w:r>
        <w:rPr>
          <w:rFonts w:hint="eastAsia" w:ascii="仿宋_GB2312"/>
          <w:snapToGrid w:val="0"/>
        </w:rPr>
        <w:t>秉持高端化发展、差异化竞争、平台化服务理念，</w:t>
      </w:r>
      <w:bookmarkStart w:id="37" w:name="_Hlk46063881"/>
      <w:r>
        <w:rPr>
          <w:rFonts w:hint="eastAsia" w:ascii="仿宋_GB2312"/>
          <w:snapToGrid w:val="0"/>
        </w:rPr>
        <w:t>引入新技术、新模式赋能传统支柱产业，</w:t>
      </w:r>
      <w:bookmarkEnd w:id="37"/>
      <w:r>
        <w:rPr>
          <w:rFonts w:hint="eastAsia" w:ascii="仿宋_GB2312"/>
          <w:snapToGrid w:val="0"/>
        </w:rPr>
        <w:t>解决金属冶炼等领域产品业态低端、组织方式传统等问题，以优势放大、转型提升为导向重点发展新材料产业。</w:t>
      </w:r>
    </w:p>
    <w:p>
      <w:pPr>
        <w:ind w:firstLine="643"/>
        <w:rPr>
          <w:rFonts w:ascii="仿宋_GB2312"/>
          <w:snapToGrid w:val="0"/>
        </w:rPr>
      </w:pPr>
      <w:r>
        <w:rPr>
          <w:rFonts w:hint="eastAsia" w:ascii="仿宋_GB2312"/>
          <w:b/>
          <w:bCs/>
          <w:snapToGrid w:val="0"/>
        </w:rPr>
        <w:t>新材料产业。</w:t>
      </w:r>
      <w:r>
        <w:rPr>
          <w:rFonts w:hint="eastAsia" w:ascii="仿宋_GB2312"/>
          <w:snapToGrid w:val="0"/>
        </w:rPr>
        <w:t>针对东丽区传统冶金产业产品和业态低端的问题，推进传统领域与新技术、新业态融合发展，</w:t>
      </w:r>
      <w:bookmarkStart w:id="38" w:name="_Hlk46063887"/>
      <w:r>
        <w:rPr>
          <w:rFonts w:hint="eastAsia" w:ascii="仿宋_GB2312"/>
          <w:snapToGrid w:val="0"/>
        </w:rPr>
        <w:t>引导企业高端化、智能化、平台化转型提升</w:t>
      </w:r>
      <w:bookmarkEnd w:id="38"/>
      <w:r>
        <w:rPr>
          <w:rFonts w:hint="eastAsia" w:ascii="仿宋_GB2312"/>
          <w:snapToGrid w:val="0"/>
        </w:rPr>
        <w:t>，重点发展先进钢铁材料和前沿新兴材料。</w:t>
      </w:r>
      <w:r>
        <w:rPr>
          <w:rFonts w:hint="eastAsia" w:ascii="仿宋_GB2312"/>
          <w:b/>
          <w:bCs/>
          <w:snapToGrid w:val="0"/>
        </w:rPr>
        <w:t>先进钢铁材料</w:t>
      </w:r>
      <w:r>
        <w:rPr>
          <w:rFonts w:hint="eastAsia" w:ascii="仿宋_GB2312"/>
          <w:snapToGrid w:val="0"/>
        </w:rPr>
        <w:t>领域，加大技改投入，提升钢铁材料产品质量；推进产学研合作，研发高附加值焊接材料；构建以天钢集团为核心的钢铁互联网平台，优化产业资源配置提升企业联动效应。</w:t>
      </w:r>
      <w:r>
        <w:rPr>
          <w:rFonts w:hint="eastAsia" w:ascii="仿宋_GB2312"/>
          <w:b/>
          <w:bCs/>
          <w:snapToGrid w:val="0"/>
        </w:rPr>
        <w:t>前沿新兴材料</w:t>
      </w:r>
      <w:r>
        <w:rPr>
          <w:rFonts w:hint="eastAsia" w:ascii="仿宋_GB2312"/>
          <w:snapToGrid w:val="0"/>
        </w:rPr>
        <w:t>领域，前瞻布局石墨烯、高性能复合材料和新型半导体材料，依托科研院所建设新型研发机构和未来实验室，加快航空材料产业化基地、爱思达航天科技二期等项目建设，推进前沿材料基础研究、应用研究和产业化统筹衔接。到</w:t>
      </w:r>
      <w:r>
        <w:rPr>
          <w:snapToGrid w:val="0"/>
        </w:rPr>
        <w:t>2025</w:t>
      </w:r>
      <w:r>
        <w:rPr>
          <w:rFonts w:hint="eastAsia" w:ascii="仿宋_GB2312"/>
          <w:snapToGrid w:val="0"/>
        </w:rPr>
        <w:t>年，打造千亿级新材料产业集群，形成具有区域影响力的新材料产业高地。</w:t>
      </w:r>
    </w:p>
    <w:p>
      <w:pPr>
        <w:pStyle w:val="3"/>
      </w:pPr>
      <w:bookmarkStart w:id="39" w:name="_Toc48224385"/>
      <w:r>
        <w:rPr>
          <w:rFonts w:hint="eastAsia"/>
        </w:rPr>
        <w:t>三、大力培育高端服务业</w:t>
      </w:r>
      <w:bookmarkEnd w:id="39"/>
    </w:p>
    <w:p>
      <w:pPr>
        <w:ind w:firstLine="640"/>
        <w:rPr>
          <w:rFonts w:ascii="仿宋_GB2312"/>
          <w:snapToGrid w:val="0"/>
        </w:rPr>
      </w:pPr>
      <w:r>
        <w:rPr>
          <w:rFonts w:hint="eastAsia"/>
          <w:snapToGrid w:val="0"/>
        </w:rPr>
        <w:t>紧抓绿色高质量发展战略要求，</w:t>
      </w:r>
      <w:r>
        <w:rPr>
          <w:rFonts w:hint="eastAsia" w:ascii="仿宋_GB2312" w:hAnsi="宋体" w:cs="宋体"/>
          <w:snapToGrid w:val="0"/>
        </w:rPr>
        <w:t>贯彻落实区委区政府“决胜临空”战略部署与建设东丽湖现代服务业集聚区要求，依托天津市“设计之都”、津南国家会展中心、国家知识产权运营服务体系示范城市等建设机遇，以满足产业转型升级、城市创新发展需求为出发点，不断拓展新模式，大力发展新业态，积极培育信息技术服务、科技服务、高端商务商贸等高端服务业。</w:t>
      </w:r>
    </w:p>
    <w:p>
      <w:pPr>
        <w:ind w:firstLine="643"/>
        <w:rPr>
          <w:rFonts w:ascii="仿宋_GB2312"/>
          <w:snapToGrid w:val="0"/>
        </w:rPr>
      </w:pPr>
      <w:r>
        <w:rPr>
          <w:rFonts w:hint="eastAsia"/>
          <w:b/>
          <w:bCs/>
          <w:snapToGrid w:val="0"/>
        </w:rPr>
        <w:t>高端服务业。</w:t>
      </w:r>
      <w:r>
        <w:rPr>
          <w:rFonts w:hint="eastAsia"/>
          <w:snapToGrid w:val="0"/>
        </w:rPr>
        <w:t>发挥东丽区临近机场的比较优势，</w:t>
      </w:r>
      <w:r>
        <w:rPr>
          <w:rFonts w:hint="eastAsia" w:ascii="仿宋_GB2312" w:hAnsi="宋体" w:cs="宋体"/>
          <w:snapToGrid w:val="0"/>
        </w:rPr>
        <w:t>依托科技服务资源集聚基础，</w:t>
      </w:r>
      <w:r>
        <w:rPr>
          <w:rFonts w:hint="eastAsia"/>
          <w:snapToGrid w:val="0"/>
        </w:rPr>
        <w:t>以优化区域产业创新发展环境和支撑</w:t>
      </w:r>
      <w:r>
        <w:rPr>
          <w:rFonts w:hint="eastAsia" w:ascii="仿宋_GB2312" w:hAnsi="宋体" w:cs="宋体"/>
          <w:snapToGrid w:val="0"/>
        </w:rPr>
        <w:t>智慧都市新区建设</w:t>
      </w:r>
      <w:r>
        <w:rPr>
          <w:rFonts w:hint="eastAsia"/>
          <w:snapToGrid w:val="0"/>
        </w:rPr>
        <w:t>为目标，重点发展信息技术服务、科技服务和高端商务商</w:t>
      </w:r>
      <w:r>
        <w:rPr>
          <w:rFonts w:hint="eastAsia" w:ascii="仿宋_GB2312"/>
          <w:snapToGrid w:val="0"/>
        </w:rPr>
        <w:t>贸。</w:t>
      </w:r>
      <w:r>
        <w:rPr>
          <w:rFonts w:hint="eastAsia" w:ascii="仿宋_GB2312"/>
          <w:b/>
          <w:bCs/>
          <w:snapToGrid w:val="0"/>
        </w:rPr>
        <w:t>信息技术服务</w:t>
      </w:r>
      <w:r>
        <w:rPr>
          <w:rFonts w:hint="eastAsia" w:ascii="仿宋_GB2312"/>
          <w:snapToGrid w:val="0"/>
        </w:rPr>
        <w:t>领域，聚焦新模式、新业态，推进信息技术服务与制造业深度融合，重点发展工业软件、大数据与云计算、综合解决方案，推进浪潮集团北方总部、大数据产业园等项目建设。</w:t>
      </w:r>
      <w:r>
        <w:rPr>
          <w:rFonts w:hint="eastAsia" w:ascii="仿宋_GB2312"/>
          <w:b/>
          <w:bCs/>
          <w:snapToGrid w:val="0"/>
        </w:rPr>
        <w:t>科技服务</w:t>
      </w:r>
      <w:r>
        <w:rPr>
          <w:rFonts w:hint="eastAsia" w:ascii="仿宋_GB2312"/>
          <w:snapToGrid w:val="0"/>
        </w:rPr>
        <w:t>领域，依托东丽区科技创新服务资源基础，以促进产业创新发展为导向，重点发展知识产权、检验检测认证、科技金融和研究开发，推进东丽区知识产权综合服务平台升级改造和国家知识产权运营服务体系示范城市建设，创建国家公共检验检测认证服务平台示范区。</w:t>
      </w:r>
      <w:r>
        <w:rPr>
          <w:rFonts w:hint="eastAsia" w:ascii="仿宋_GB2312"/>
          <w:b/>
          <w:bCs/>
          <w:snapToGrid w:val="0"/>
        </w:rPr>
        <w:t>高端商务商贸</w:t>
      </w:r>
      <w:r>
        <w:rPr>
          <w:rFonts w:hint="eastAsia" w:ascii="仿宋_GB2312"/>
          <w:snapToGrid w:val="0"/>
        </w:rPr>
        <w:t>领域，把握临空经济发展机遇与会展经济带动作用，发挥东丽</w:t>
      </w:r>
      <w:r>
        <w:rPr>
          <w:rFonts w:ascii="仿宋_GB2312"/>
          <w:snapToGrid w:val="0"/>
        </w:rPr>
        <w:t>毗邻空港、与津南隔河相望的</w:t>
      </w:r>
      <w:r>
        <w:rPr>
          <w:rFonts w:hint="eastAsia" w:ascii="仿宋_GB2312"/>
          <w:snapToGrid w:val="0"/>
        </w:rPr>
        <w:t>区位优势，</w:t>
      </w:r>
      <w:bookmarkStart w:id="40" w:name="_Hlk47547459"/>
      <w:r>
        <w:rPr>
          <w:rFonts w:hint="eastAsia" w:ascii="仿宋_GB2312"/>
          <w:snapToGrid w:val="0"/>
        </w:rPr>
        <w:t>加强海空、陆港联动</w:t>
      </w:r>
      <w:bookmarkEnd w:id="40"/>
      <w:r>
        <w:rPr>
          <w:rFonts w:hint="eastAsia" w:ascii="仿宋_GB2312"/>
          <w:snapToGrid w:val="0"/>
        </w:rPr>
        <w:t>，重点发展现代物流、电子商务、会展培训、总部经济和设计服务，推进国际航空物流中心、临空经济区跨境物流基地与天津“设计之都”核心区建设，打造乐歌、京东等电子商务智慧园区。到</w:t>
      </w:r>
      <w:r>
        <w:rPr>
          <w:snapToGrid w:val="0"/>
        </w:rPr>
        <w:t>2025</w:t>
      </w:r>
      <w:r>
        <w:rPr>
          <w:rFonts w:hint="eastAsia" w:ascii="仿宋_GB2312"/>
          <w:snapToGrid w:val="0"/>
        </w:rPr>
        <w:t>年，</w:t>
      </w:r>
      <w:r>
        <w:rPr>
          <w:rFonts w:hint="eastAsia" w:ascii="仿宋_GB2312" w:hAnsi="宋体" w:cs="宋体"/>
          <w:snapToGrid w:val="0"/>
        </w:rPr>
        <w:t>打造百亿级高端服务业产业集群，</w:t>
      </w:r>
      <w:r>
        <w:rPr>
          <w:rFonts w:hint="eastAsia" w:ascii="仿宋_GB2312"/>
          <w:snapToGrid w:val="0"/>
        </w:rPr>
        <w:t>建成新业态、新模式引领的高端服务业聚集区。</w:t>
      </w:r>
    </w:p>
    <w:p>
      <w:pPr>
        <w:pStyle w:val="3"/>
        <w:rPr>
          <w:snapToGrid w:val="0"/>
        </w:rPr>
      </w:pPr>
      <w:bookmarkStart w:id="41" w:name="_Toc48224386"/>
      <w:r>
        <w:rPr>
          <w:rFonts w:hint="eastAsia"/>
          <w:snapToGrid w:val="0"/>
        </w:rPr>
        <w:t>四、健全新经济产业服务体系</w:t>
      </w:r>
      <w:bookmarkEnd w:id="41"/>
    </w:p>
    <w:p>
      <w:pPr>
        <w:ind w:firstLine="640"/>
        <w:rPr>
          <w:snapToGrid w:val="0"/>
        </w:rPr>
      </w:pPr>
      <w:r>
        <w:rPr>
          <w:rFonts w:hint="eastAsia" w:ascii="仿宋_GB2312"/>
          <w:snapToGrid w:val="0"/>
        </w:rPr>
        <w:t>围绕“</w:t>
      </w:r>
      <w:r>
        <w:rPr>
          <w:rFonts w:ascii="仿宋_GB2312"/>
          <w:snapToGrid w:val="0"/>
        </w:rPr>
        <w:t>311</w:t>
      </w:r>
      <w:r>
        <w:rPr>
          <w:rFonts w:hint="eastAsia" w:ascii="仿宋_GB2312"/>
          <w:snapToGrid w:val="0"/>
        </w:rPr>
        <w:t>”产业体系，面向新经济发展要求，探索产业发展的新招法和新路径，积极开展新经济招商，加强新经济场景供给，形成产业共同体为核心的产业服务体系，形成良好产业生态。</w:t>
      </w:r>
    </w:p>
    <w:p>
      <w:pPr>
        <w:ind w:firstLine="643"/>
        <w:rPr>
          <w:snapToGrid w:val="0"/>
        </w:rPr>
      </w:pPr>
      <w:r>
        <w:rPr>
          <w:rFonts w:hint="eastAsia"/>
          <w:b/>
          <w:snapToGrid w:val="0"/>
        </w:rPr>
        <w:t>以构建产业生态为核心开展新经济招商。</w:t>
      </w:r>
      <w:r>
        <w:rPr>
          <w:rFonts w:hint="eastAsia"/>
          <w:bCs/>
          <w:snapToGrid w:val="0"/>
        </w:rPr>
        <w:t>围绕东丽发展的重点领域，引入专业化、市场化新经济资源对接平台，</w:t>
      </w:r>
      <w:r>
        <w:rPr>
          <w:rFonts w:hint="eastAsia"/>
          <w:snapToGrid w:val="0"/>
        </w:rPr>
        <w:t>加大对重点企业和项目的靶向性跟踪和对接，实现招商引资专业化、组织化、高效化。全面开展新业态招商，聚焦智能网联汽车、工业机器人、智慧医疗服务、前沿新材料等新兴领域，重点招引瞪羚、独角兽等高成长企业及其第二总部、功能性总部，培育具有爆发式成长潜力的新经济增长点。大力开展平台招商，积极引入平台型企业和服务组织，赋能新天钢、金桥等行业企业，推进龙头企业开放自身资源、服务中小企业。积极开展产业链招商，聚焦重点领域高附加值目标环节，推进落实“串链补链强链”工程，打通产业链上下游延伸及配套环节。</w:t>
      </w:r>
    </w:p>
    <w:p>
      <w:pPr>
        <w:widowControl/>
        <w:ind w:firstLine="643"/>
        <w:rPr>
          <w:snapToGrid w:val="0"/>
        </w:rPr>
      </w:pPr>
      <w:r>
        <w:rPr>
          <w:rFonts w:hint="eastAsia"/>
          <w:b/>
          <w:snapToGrid w:val="0"/>
        </w:rPr>
        <w:t>搭建新场景提供新技术新产品试验空间</w:t>
      </w:r>
      <w:r>
        <w:rPr>
          <w:rFonts w:hint="eastAsia"/>
          <w:snapToGrid w:val="0"/>
        </w:rPr>
        <w:t>。围绕企业、产业、城市发展需求，以“智能</w:t>
      </w:r>
      <w:r>
        <w:rPr>
          <w:snapToGrid w:val="0"/>
        </w:rPr>
        <w:t>+</w:t>
      </w:r>
      <w:r>
        <w:rPr>
          <w:rFonts w:hint="eastAsia"/>
          <w:snapToGrid w:val="0"/>
        </w:rPr>
        <w:t>”为引领，以应用示范为抓手，打造新技术、新业态落地应用空间。搭建“智能</w:t>
      </w:r>
      <w:r>
        <w:rPr>
          <w:snapToGrid w:val="0"/>
        </w:rPr>
        <w:t>+</w:t>
      </w:r>
      <w:r>
        <w:rPr>
          <w:rFonts w:hint="eastAsia"/>
          <w:snapToGrid w:val="0"/>
        </w:rPr>
        <w:t>”应用场景，面向智能网联车、智能制造装备、医疗服务等企业需求，发挥天津滨海国际机场、无人驾驶测试道路既有资源优势，布局智慧机场、无人驾驶、智慧康养等新经济场景。搭建城市服务场景，</w:t>
      </w:r>
      <w:r>
        <w:rPr>
          <w:rFonts w:hint="eastAsia"/>
        </w:rPr>
        <w:t>整合数字城管、政务系统、人口、车流等数据，建设智慧政务、智慧交通等场景。搭建产业服务场景，配套国家智能制造试点示范项目，推进“机器换人”、“智慧工厂”示范试点配套措，搭建一批智慧工厂场景。布局</w:t>
      </w:r>
      <w:r>
        <w:rPr>
          <w:rFonts w:hint="eastAsia"/>
          <w:snapToGrid w:val="0"/>
        </w:rPr>
        <w:t>聚焦新经济企业培育场景创新，将雏鹰、瞪羚等新经济企业视为“城市合伙人”，举办科技展会、行业峰会等展示推广活动，加强对新经济企业技术研究试验和场景示范应用的支持。定时发布机会清单并配备必要资源，探索实施场景招商，主动引导场景创新，加快新技术、新产品在东丽区教育、医疗、卫生、文化、体育、商业服务和行政管理等公共服务领域的应用推广，为新业态企业提供更为广阔的市场与发展空间。</w:t>
      </w:r>
    </w:p>
    <w:p>
      <w:pPr>
        <w:widowControl/>
        <w:ind w:firstLine="643"/>
        <w:rPr>
          <w:rFonts w:ascii="宋体" w:hAnsi="宋体" w:eastAsia="宋体" w:cs="宋体"/>
        </w:rPr>
      </w:pPr>
      <w:r>
        <w:rPr>
          <w:rFonts w:hint="eastAsia"/>
          <w:b/>
          <w:snapToGrid w:val="0"/>
        </w:rPr>
        <w:t>聚焦新兴产业领域建设产业共同体</w:t>
      </w:r>
      <w:r>
        <w:rPr>
          <w:rFonts w:hint="eastAsia"/>
          <w:snapToGrid w:val="0"/>
        </w:rPr>
        <w:t>。借鉴浙江、重庆等实现跨越式发展的典型地区，应用数据技术整合产业创新资源要素，完善产业治理体系，探索以产业共同体为核心的新发展模式。搭建产业创新服务平台，以中汽研、智能网联汽车研究院、中科院苏州医工所等机构组织为核心，</w:t>
      </w:r>
      <w:r>
        <w:rPr>
          <w:rFonts w:hint="eastAsia" w:ascii="仿宋_GB2312"/>
          <w:snapToGrid w:val="0"/>
        </w:rPr>
        <w:t>链接政府、企业、科研院所、科技创新组织、专业服务机构、互联网平台等多方力量，整合产业创新资源。探索打造产业大脑，针对智能网联汽车、智慧医疗等前沿领域，探索与知名产业互联网服务机构合作打造产业大脑，</w:t>
      </w:r>
      <w:r>
        <w:rPr>
          <w:rFonts w:hint="eastAsia"/>
          <w:snapToGrid w:val="0"/>
        </w:rPr>
        <w:t>利用</w:t>
      </w:r>
      <w:r>
        <w:rPr>
          <w:rFonts w:hint="eastAsia" w:ascii="仿宋_GB2312"/>
          <w:snapToGrid w:val="0"/>
        </w:rPr>
        <w:t>产业大脑整合各方数据</w:t>
      </w:r>
      <w:r>
        <w:rPr>
          <w:rFonts w:hint="eastAsia"/>
          <w:snapToGrid w:val="0"/>
        </w:rPr>
        <w:t>、</w:t>
      </w:r>
      <w:r>
        <w:rPr>
          <w:rFonts w:hint="eastAsia" w:ascii="仿宋_GB2312"/>
          <w:snapToGrid w:val="0"/>
        </w:rPr>
        <w:t>优化产业资源配置。完善产业治理体系，由多方主体共建共治组织，探索股份制、理事会制、会员制等多种运作模式，</w:t>
      </w:r>
      <w:r>
        <w:rPr>
          <w:rFonts w:hint="eastAsia"/>
          <w:snapToGrid w:val="0"/>
        </w:rPr>
        <w:t>完善利益分配模式激发主体活力</w:t>
      </w:r>
      <w:r>
        <w:rPr>
          <w:rFonts w:hint="eastAsia" w:ascii="仿宋_GB2312"/>
          <w:snapToGrid w:val="0"/>
        </w:rPr>
        <w:t>。到202</w:t>
      </w:r>
      <w:r>
        <w:rPr>
          <w:rFonts w:ascii="仿宋_GB2312"/>
          <w:snapToGrid w:val="0"/>
        </w:rPr>
        <w:t>5</w:t>
      </w:r>
      <w:r>
        <w:rPr>
          <w:rFonts w:hint="eastAsia" w:ascii="仿宋_GB2312"/>
          <w:snapToGrid w:val="0"/>
        </w:rPr>
        <w:t>年，聚焦“3</w:t>
      </w:r>
      <w:r>
        <w:rPr>
          <w:rFonts w:ascii="仿宋_GB2312"/>
          <w:snapToGrid w:val="0"/>
        </w:rPr>
        <w:t>11</w:t>
      </w:r>
      <w:r>
        <w:rPr>
          <w:rFonts w:hint="eastAsia" w:ascii="仿宋_GB2312"/>
          <w:snapToGrid w:val="0"/>
        </w:rPr>
        <w:t>”产业体系形成智能网联车、智能制造、智慧医疗服务、新材料等产业共同体。</w:t>
      </w:r>
      <w:r>
        <w:rPr>
          <w:rFonts w:ascii="宋体" w:hAnsi="宋体" w:eastAsia="宋体" w:cs="宋体"/>
        </w:rPr>
        <w:br w:type="page"/>
      </w:r>
    </w:p>
    <w:p>
      <w:pPr>
        <w:keepNext/>
        <w:keepLines/>
        <w:adjustRightInd w:val="0"/>
        <w:ind w:firstLine="0" w:firstLineChars="0"/>
        <w:jc w:val="center"/>
        <w:textAlignment w:val="baseline"/>
        <w:outlineLvl w:val="0"/>
        <w:rPr>
          <w:rFonts w:ascii="黑体" w:hAnsi="黑体" w:eastAsia="黑体" w:cs="Times New Roman"/>
          <w:b/>
          <w:spacing w:val="-4"/>
          <w:kern w:val="44"/>
          <w:sz w:val="36"/>
          <w:szCs w:val="36"/>
        </w:rPr>
      </w:pPr>
      <w:bookmarkStart w:id="42" w:name="_Toc48224387"/>
      <w:bookmarkStart w:id="43" w:name="_Toc33555903"/>
      <w:r>
        <w:rPr>
          <w:rFonts w:hint="eastAsia" w:ascii="黑体" w:hAnsi="黑体" w:eastAsia="黑体" w:cs="Times New Roman"/>
          <w:b/>
          <w:spacing w:val="-4"/>
          <w:kern w:val="44"/>
          <w:sz w:val="36"/>
          <w:szCs w:val="36"/>
        </w:rPr>
        <w:t>第四章</w:t>
      </w:r>
      <w:r>
        <w:rPr>
          <w:rFonts w:ascii="黑体" w:hAnsi="黑体" w:eastAsia="黑体" w:cs="Times New Roman"/>
          <w:b/>
          <w:spacing w:val="-4"/>
          <w:kern w:val="44"/>
          <w:sz w:val="36"/>
          <w:szCs w:val="36"/>
        </w:rPr>
        <w:t xml:space="preserve"> </w:t>
      </w:r>
      <w:r>
        <w:rPr>
          <w:rFonts w:hint="eastAsia" w:ascii="黑体" w:hAnsi="黑体" w:eastAsia="黑体" w:cs="Times New Roman"/>
          <w:b/>
          <w:spacing w:val="-4"/>
          <w:kern w:val="44"/>
          <w:sz w:val="36"/>
          <w:szCs w:val="36"/>
        </w:rPr>
        <w:t>创新驱动，打造创新创业生态</w:t>
      </w:r>
      <w:bookmarkEnd w:id="42"/>
    </w:p>
    <w:p>
      <w:pPr>
        <w:adjustRightInd w:val="0"/>
        <w:ind w:firstLine="624"/>
        <w:textAlignment w:val="baseline"/>
        <w:rPr>
          <w:rFonts w:ascii="仿宋_GB2312" w:cs="Times New Roman"/>
          <w:bCs/>
          <w:spacing w:val="-4"/>
          <w:kern w:val="0"/>
        </w:rPr>
      </w:pPr>
      <w:r>
        <w:rPr>
          <w:rFonts w:hint="eastAsia" w:ascii="仿宋_GB2312" w:cs="Times New Roman"/>
          <w:bCs/>
          <w:spacing w:val="-4"/>
          <w:kern w:val="0"/>
        </w:rPr>
        <w:t>面向全国先进制造研发基地建设要求，把握新时代科技创新趋势，发挥东丽科技创新资源集聚优势，</w:t>
      </w:r>
      <w:r>
        <w:rPr>
          <w:rFonts w:hint="eastAsia" w:ascii="仿宋_GB2312" w:hAnsi="仿宋"/>
          <w:snapToGrid w:val="0"/>
          <w:szCs w:val="32"/>
        </w:rPr>
        <w:t>营造“新创业</w:t>
      </w:r>
      <w:r>
        <w:rPr>
          <w:rFonts w:ascii="仿宋_GB2312" w:hAnsi="仿宋"/>
          <w:snapToGrid w:val="0"/>
          <w:szCs w:val="32"/>
        </w:rPr>
        <w:t>+新研发+新服务”创新创业生态，</w:t>
      </w:r>
      <w:r>
        <w:rPr>
          <w:rFonts w:hint="eastAsia" w:ascii="仿宋_GB2312" w:hAnsi="仿宋" w:cs="Times New Roman"/>
          <w:spacing w:val="-4"/>
          <w:kern w:val="0"/>
          <w:szCs w:val="32"/>
        </w:rPr>
        <w:t>以创新型企业成长为核心，以新研发、新服务为支撑，</w:t>
      </w:r>
      <w:r>
        <w:rPr>
          <w:rFonts w:hint="eastAsia" w:ascii="仿宋_GB2312" w:cs="Times New Roman"/>
          <w:bCs/>
          <w:spacing w:val="-4"/>
          <w:kern w:val="0"/>
        </w:rPr>
        <w:t>引育经济发展新动能，推进科技创新与经济发展紧密结合，建设天津市创新创业先行区、京津冀科技成果转化集聚区。</w:t>
      </w:r>
    </w:p>
    <w:p>
      <w:pPr>
        <w:keepNext/>
        <w:keepLines/>
        <w:ind w:firstLine="643"/>
        <w:outlineLvl w:val="1"/>
        <w:rPr>
          <w:rFonts w:ascii="楷体" w:hAnsi="楷体" w:eastAsia="楷体" w:cs="Times New Roman"/>
          <w:b/>
          <w:bCs/>
          <w:szCs w:val="32"/>
        </w:rPr>
      </w:pPr>
      <w:bookmarkStart w:id="44" w:name="_Toc48224388"/>
      <w:bookmarkStart w:id="45" w:name="_Toc7653"/>
      <w:r>
        <w:rPr>
          <w:rFonts w:hint="eastAsia" w:ascii="楷体" w:hAnsi="楷体" w:eastAsia="楷体" w:cs="Times New Roman"/>
          <w:b/>
          <w:bCs/>
          <w:szCs w:val="32"/>
        </w:rPr>
        <w:t>一</w:t>
      </w:r>
      <w:r>
        <w:rPr>
          <w:rFonts w:ascii="楷体" w:hAnsi="楷体" w:eastAsia="楷体" w:cs="Times New Roman"/>
          <w:b/>
          <w:bCs/>
          <w:szCs w:val="32"/>
        </w:rPr>
        <w:t>、</w:t>
      </w:r>
      <w:r>
        <w:rPr>
          <w:rFonts w:hint="eastAsia" w:ascii="楷体" w:hAnsi="楷体" w:eastAsia="楷体" w:cs="Times New Roman"/>
          <w:b/>
          <w:bCs/>
          <w:szCs w:val="32"/>
        </w:rPr>
        <w:t>壮大创新型高科技企业群体</w:t>
      </w:r>
      <w:bookmarkEnd w:id="44"/>
    </w:p>
    <w:p>
      <w:pPr>
        <w:adjustRightInd w:val="0"/>
        <w:ind w:firstLine="640"/>
        <w:textAlignment w:val="baseline"/>
        <w:rPr>
          <w:rFonts w:ascii="Arial" w:hAnsi="Arial" w:cs="Arial"/>
          <w:shd w:val="clear" w:color="auto" w:fill="FFFFFF"/>
        </w:rPr>
      </w:pPr>
      <w:bookmarkStart w:id="46" w:name="_Hlk46091418"/>
      <w:r>
        <w:rPr>
          <w:rFonts w:hint="eastAsia" w:ascii="Arial" w:hAnsi="Arial" w:cs="Arial"/>
          <w:shd w:val="clear" w:color="auto" w:fill="FFFFFF"/>
        </w:rPr>
        <w:t>围绕天津市新动能引育五年计划要求，针对东丽区创新主体不足的问题，以强化企业创新主体地位、推进创新型企业数量倍增和能级跃迁为导向，大力培育高新技术企业、高成长企业和新经济企业，做大做强东丽新动能“底盘”。</w:t>
      </w:r>
    </w:p>
    <w:bookmarkEnd w:id="46"/>
    <w:p>
      <w:pPr>
        <w:adjustRightInd w:val="0"/>
        <w:ind w:firstLine="643"/>
        <w:textAlignment w:val="baseline"/>
        <w:rPr>
          <w:rFonts w:ascii="Arial" w:hAnsi="Arial" w:cs="Arial"/>
          <w:shd w:val="clear" w:color="auto" w:fill="FFFFFF"/>
        </w:rPr>
      </w:pPr>
      <w:r>
        <w:rPr>
          <w:rFonts w:hint="eastAsia" w:ascii="Arial" w:hAnsi="Arial" w:cs="Arial"/>
          <w:b/>
          <w:shd w:val="clear" w:color="auto" w:fill="FFFFFF"/>
        </w:rPr>
        <w:t>加速高新技术企业倍增。</w:t>
      </w:r>
      <w:r>
        <w:rPr>
          <w:rFonts w:hint="eastAsia" w:ascii="Arial" w:hAnsi="Arial" w:cs="Arial"/>
          <w:shd w:val="clear" w:color="auto" w:fill="FFFFFF"/>
        </w:rPr>
        <w:t>推进高新技术企业精准培育和倍增发展，强化高新技术企业对实体经济发展的支撑作用。建立高新技术企业和储备企业数据库，实现与企业登记信息库、国家科技型中小企业库等数据库“多库联动”，支持并协助重点企业申报国家级高新技术企业。加大高新技术企业引进力度，依托东丽经开区、华明高新区、东丽湖等重点区域提升发展和临空经济区开发建设机遇，引入符合区域产业发展方向的高新技术企业。加大高新技术企业孵化力度，依托清华系、中科系重点院所等平台，孵化一批团队优良、技术领先的优质企业，用一至两年时间培育成为高新技术企业。</w:t>
      </w:r>
      <w:r>
        <w:rPr>
          <w:rFonts w:hint="eastAsia" w:ascii="仿宋_GB2312" w:cs="Times New Roman"/>
          <w:spacing w:val="-4"/>
          <w:kern w:val="0"/>
        </w:rPr>
        <w:t>到</w:t>
      </w:r>
      <w:r>
        <w:rPr>
          <w:rFonts w:cs="Times New Roman"/>
          <w:spacing w:val="-4"/>
          <w:kern w:val="0"/>
        </w:rPr>
        <w:t>2025</w:t>
      </w:r>
      <w:r>
        <w:rPr>
          <w:rFonts w:hint="eastAsia" w:ascii="仿宋_GB2312" w:cs="Times New Roman"/>
          <w:spacing w:val="-4"/>
          <w:kern w:val="0"/>
        </w:rPr>
        <w:t>年，国家级高新技术企业超过</w:t>
      </w:r>
      <w:r>
        <w:rPr>
          <w:rFonts w:cs="Times New Roman"/>
          <w:spacing w:val="-4"/>
          <w:kern w:val="0"/>
        </w:rPr>
        <w:t>610</w:t>
      </w:r>
      <w:r>
        <w:rPr>
          <w:rFonts w:hint="eastAsia" w:ascii="仿宋_GB2312" w:cs="Times New Roman"/>
          <w:spacing w:val="-4"/>
          <w:kern w:val="0"/>
        </w:rPr>
        <w:t>家。</w:t>
      </w:r>
    </w:p>
    <w:p>
      <w:pPr>
        <w:adjustRightInd w:val="0"/>
        <w:ind w:firstLine="627"/>
        <w:textAlignment w:val="baseline"/>
        <w:rPr>
          <w:rFonts w:ascii="仿宋_GB2312" w:cs="Times New Roman"/>
          <w:bCs/>
          <w:spacing w:val="-4"/>
          <w:kern w:val="0"/>
        </w:rPr>
      </w:pPr>
      <w:r>
        <w:rPr>
          <w:rFonts w:hint="eastAsia" w:ascii="仿宋_GB2312" w:cs="Times New Roman"/>
          <w:b/>
          <w:spacing w:val="-4"/>
          <w:kern w:val="0"/>
        </w:rPr>
        <w:t>壮大高成长企业群体</w:t>
      </w:r>
      <w:r>
        <w:rPr>
          <w:rFonts w:hint="eastAsia" w:ascii="仿宋_GB2312" w:cs="Times New Roman"/>
          <w:bCs/>
          <w:spacing w:val="-4"/>
          <w:kern w:val="0"/>
        </w:rPr>
        <w:t>。落实天津市创新型企业领军计划，建立高成长企业分级分类扶持体系,打造雏鹰-瞪羚-科技领军（培育）企业梯队。培育一批雏鹰企业，依托国家科技型中小企业数据库，梳理区内发展态势良好的新经济企业和中小企业，建立长效沟通机制，开展精准帮扶。支持瞪羚企业发展壮大，筹建东丽区瞪羚企业俱乐部，引导高端资源向瞪羚企业集聚。推进科技领军企业引领行业变革，开放城市资源建设企业创新和测试应用场景。加大独角兽企业引培力度，争取实现独角兽零突破。支持并协助区内企业申报市级雏鹰、瞪羚和科技领军（培育）企业，在区财政支持的城市建设、社会治理、民生服务等领域，优先采购应用高成长企业自主创新产品。到</w:t>
      </w:r>
      <w:r>
        <w:rPr>
          <w:rFonts w:cs="Times New Roman"/>
          <w:bCs/>
          <w:spacing w:val="-4"/>
          <w:kern w:val="0"/>
        </w:rPr>
        <w:t>2025</w:t>
      </w:r>
      <w:r>
        <w:rPr>
          <w:rFonts w:hint="eastAsia" w:ascii="仿宋_GB2312" w:cs="Times New Roman"/>
          <w:bCs/>
          <w:spacing w:val="-4"/>
          <w:kern w:val="0"/>
        </w:rPr>
        <w:t>年，高成长企业梯队基本形成,雏鹰企业达到</w:t>
      </w:r>
      <w:r>
        <w:rPr>
          <w:rFonts w:cs="Times New Roman"/>
          <w:bCs/>
          <w:spacing w:val="-4"/>
          <w:kern w:val="0"/>
        </w:rPr>
        <w:t>250</w:t>
      </w:r>
      <w:r>
        <w:rPr>
          <w:rFonts w:hint="eastAsia" w:ascii="仿宋_GB2312" w:cs="Times New Roman"/>
          <w:bCs/>
          <w:spacing w:val="-4"/>
          <w:kern w:val="0"/>
        </w:rPr>
        <w:t>家，瞪羚企业达到</w:t>
      </w:r>
      <w:r>
        <w:rPr>
          <w:rFonts w:cs="Times New Roman"/>
          <w:bCs/>
          <w:spacing w:val="-4"/>
          <w:kern w:val="0"/>
        </w:rPr>
        <w:t>30</w:t>
      </w:r>
      <w:r>
        <w:rPr>
          <w:rFonts w:hint="eastAsia" w:ascii="仿宋_GB2312" w:cs="Times New Roman"/>
          <w:bCs/>
          <w:spacing w:val="-4"/>
          <w:kern w:val="0"/>
        </w:rPr>
        <w:t>家，科技领军（培育）企业达到</w:t>
      </w:r>
      <w:r>
        <w:rPr>
          <w:rFonts w:cs="Times New Roman"/>
          <w:bCs/>
          <w:spacing w:val="-4"/>
          <w:kern w:val="0"/>
        </w:rPr>
        <w:t>10</w:t>
      </w:r>
      <w:r>
        <w:rPr>
          <w:rFonts w:hint="eastAsia" w:ascii="仿宋_GB2312" w:cs="Times New Roman"/>
          <w:bCs/>
          <w:spacing w:val="-4"/>
          <w:kern w:val="0"/>
        </w:rPr>
        <w:t>家。</w:t>
      </w:r>
    </w:p>
    <w:p>
      <w:pPr>
        <w:adjustRightInd w:val="0"/>
        <w:ind w:firstLine="627"/>
        <w:textAlignment w:val="baseline"/>
        <w:rPr>
          <w:rFonts w:ascii="仿宋_GB2312" w:cs="Times New Roman"/>
          <w:bCs/>
          <w:spacing w:val="-4"/>
          <w:kern w:val="0"/>
        </w:rPr>
      </w:pPr>
      <w:r>
        <w:rPr>
          <w:rFonts w:hint="eastAsia" w:ascii="仿宋_GB2312" w:cs="Times New Roman"/>
          <w:b/>
          <w:bCs/>
          <w:spacing w:val="-4"/>
          <w:kern w:val="0"/>
        </w:rPr>
        <w:t>培育高端创业、平台型企业等新经济企业。</w:t>
      </w:r>
      <w:r>
        <w:rPr>
          <w:rFonts w:hint="eastAsia" w:ascii="仿宋_GB2312" w:cs="Times New Roman"/>
          <w:spacing w:val="-4"/>
          <w:kern w:val="0"/>
        </w:rPr>
        <w:t>发挥东丽区科研院所集聚和传统大企业实力雄厚的优势，支持高水平创业，</w:t>
      </w:r>
      <w:r>
        <w:rPr>
          <w:rFonts w:hint="eastAsia" w:ascii="仿宋_GB2312" w:cs="Times New Roman"/>
          <w:bCs/>
          <w:spacing w:val="-4"/>
          <w:kern w:val="0"/>
        </w:rPr>
        <w:t>培育发展一批具有颠覆性创新能力、引领时代变革的新经济企业。鼓励科研院所开展硬科技创业，聚焦产业发展技术需求，加速科技成果转化和高新技术企业孵化。支持区内龙头企业平台化发展，开放自有技术研发、市场资本和行业导师资源，沿产业链上下游孵化具有前沿技术和市场前景的创业企业。围绕主导产业，引入国内外领先的平台型企业，带动区域产业生态和创新生态实现能级跃迁。到</w:t>
      </w:r>
      <w:r>
        <w:rPr>
          <w:rFonts w:cs="Times New Roman"/>
          <w:bCs/>
          <w:spacing w:val="-4"/>
          <w:kern w:val="0"/>
        </w:rPr>
        <w:t>2025</w:t>
      </w:r>
      <w:r>
        <w:rPr>
          <w:rFonts w:hint="eastAsia" w:ascii="仿宋_GB2312" w:cs="Times New Roman"/>
          <w:bCs/>
          <w:spacing w:val="-4"/>
          <w:kern w:val="0"/>
        </w:rPr>
        <w:t>年，引进和培育平台型企业</w:t>
      </w:r>
      <w:r>
        <w:rPr>
          <w:rFonts w:cs="Times New Roman"/>
          <w:bCs/>
          <w:spacing w:val="-4"/>
          <w:kern w:val="0"/>
        </w:rPr>
        <w:t>5</w:t>
      </w:r>
      <w:r>
        <w:rPr>
          <w:rFonts w:hint="eastAsia" w:ascii="仿宋_GB2312" w:cs="Times New Roman"/>
          <w:bCs/>
          <w:spacing w:val="-4"/>
          <w:kern w:val="0"/>
        </w:rPr>
        <w:t>家。</w:t>
      </w:r>
    </w:p>
    <w:p>
      <w:pPr>
        <w:adjustRightInd w:val="0"/>
        <w:ind w:firstLine="643"/>
        <w:textAlignment w:val="baseline"/>
        <w:rPr>
          <w:rFonts w:ascii="仿宋_GB2312" w:cs="Times New Roman"/>
          <w:bCs/>
          <w:spacing w:val="-4"/>
          <w:kern w:val="0"/>
        </w:rPr>
      </w:pPr>
      <w:r>
        <w:rPr>
          <w:rFonts w:hint="eastAsia" w:ascii="Arial" w:hAnsi="Arial" w:cs="Arial"/>
          <w:b/>
          <w:shd w:val="clear" w:color="auto" w:fill="FFFFFF"/>
        </w:rPr>
        <w:t>提升高科技企业发展能级。</w:t>
      </w:r>
      <w:r>
        <w:rPr>
          <w:rFonts w:hint="eastAsia" w:ascii="Arial" w:hAnsi="Arial" w:cs="Arial"/>
          <w:shd w:val="clear" w:color="auto" w:fill="FFFFFF"/>
        </w:rPr>
        <w:t>支持区内企业技术创新与产品升级，探索新的发展路径和商业模式，增强行业话语权，塑造东丽科技型企业新形象</w:t>
      </w:r>
      <w:r>
        <w:rPr>
          <w:rFonts w:hint="eastAsia" w:ascii="Arial" w:hAnsi="Arial" w:cs="Arial"/>
          <w:b/>
          <w:shd w:val="clear" w:color="auto" w:fill="FFFFFF"/>
        </w:rPr>
        <w:t>。</w:t>
      </w:r>
      <w:r>
        <w:rPr>
          <w:rFonts w:hint="eastAsia" w:cs="Times New Roman"/>
        </w:rPr>
        <w:t>支持优质科技企业建设重大科技创新平台，</w:t>
      </w:r>
      <w:r>
        <w:rPr>
          <w:rFonts w:hint="eastAsia" w:ascii="Arial" w:hAnsi="Arial" w:cs="Arial"/>
          <w:shd w:val="clear" w:color="auto" w:fill="FFFFFF"/>
        </w:rPr>
        <w:t>承担国家科技计划项目，开展关键核心技术和战略性前沿技术攻关，</w:t>
      </w:r>
      <w:r>
        <w:rPr>
          <w:rFonts w:hint="eastAsia" w:cs="Times New Roman"/>
        </w:rPr>
        <w:t>对重大科技创新平台建设、关键技术开发应用给予设备补助和场景开放等支持。</w:t>
      </w:r>
      <w:r>
        <w:rPr>
          <w:rFonts w:hint="eastAsia" w:ascii="Arial" w:hAnsi="Arial" w:cs="Arial"/>
          <w:shd w:val="clear" w:color="auto" w:fill="FFFFFF"/>
        </w:rPr>
        <w:t>鼓励企业加大研发投入力度，加强产品（技术）专利布局，提升核心竞争力。引导企业参与国际、国内和行业标准制定，参加国内外高端论坛、产品展会和创新创业大赛，增强企业影响力。实施质量立区战略，引导企业提品质、创品牌、开展品牌建设工作，定期开展品牌价值评价，增强东丽科技企业品牌影响力。</w:t>
      </w:r>
      <w:r>
        <w:rPr>
          <w:rFonts w:hint="eastAsia" w:ascii="仿宋_GB2312" w:cs="Times New Roman"/>
          <w:spacing w:val="-4"/>
          <w:kern w:val="0"/>
        </w:rPr>
        <w:t>到</w:t>
      </w:r>
      <w:r>
        <w:rPr>
          <w:rFonts w:cs="Times New Roman"/>
          <w:spacing w:val="-4"/>
          <w:kern w:val="0"/>
        </w:rPr>
        <w:t>2025</w:t>
      </w:r>
      <w:r>
        <w:rPr>
          <w:rFonts w:hint="eastAsia" w:ascii="仿宋_GB2312" w:cs="Times New Roman"/>
          <w:spacing w:val="-4"/>
          <w:kern w:val="0"/>
        </w:rPr>
        <w:t>年，培育国家科技型中小企业</w:t>
      </w:r>
      <w:r>
        <w:rPr>
          <w:rFonts w:cs="Times New Roman"/>
          <w:spacing w:val="-4"/>
          <w:kern w:val="0"/>
        </w:rPr>
        <w:t>600</w:t>
      </w:r>
      <w:r>
        <w:rPr>
          <w:rFonts w:hint="eastAsia" w:ascii="仿宋_GB2312" w:cs="Times New Roman"/>
          <w:spacing w:val="-4"/>
          <w:kern w:val="0"/>
        </w:rPr>
        <w:t>家。</w:t>
      </w:r>
    </w:p>
    <w:p>
      <w:pPr>
        <w:keepNext/>
        <w:keepLines/>
        <w:ind w:firstLine="643"/>
        <w:outlineLvl w:val="1"/>
        <w:rPr>
          <w:rFonts w:ascii="楷体" w:hAnsi="楷体" w:eastAsia="楷体" w:cs="Times New Roman"/>
          <w:b/>
          <w:bCs/>
          <w:szCs w:val="32"/>
        </w:rPr>
      </w:pPr>
      <w:bookmarkStart w:id="47" w:name="_Toc48224389"/>
      <w:r>
        <w:rPr>
          <w:rFonts w:hint="eastAsia" w:ascii="楷体" w:hAnsi="楷体" w:eastAsia="楷体" w:cs="Times New Roman"/>
          <w:b/>
          <w:bCs/>
          <w:szCs w:val="32"/>
        </w:rPr>
        <w:t>二</w:t>
      </w:r>
      <w:r>
        <w:rPr>
          <w:rFonts w:ascii="楷体" w:hAnsi="楷体" w:eastAsia="楷体" w:cs="Times New Roman"/>
          <w:b/>
          <w:bCs/>
          <w:szCs w:val="32"/>
        </w:rPr>
        <w:t>、</w:t>
      </w:r>
      <w:r>
        <w:rPr>
          <w:rFonts w:hint="eastAsia" w:ascii="楷体" w:hAnsi="楷体" w:eastAsia="楷体" w:cs="Times New Roman"/>
          <w:b/>
          <w:bCs/>
          <w:szCs w:val="32"/>
        </w:rPr>
        <w:t>聚焦产业化促进院所提质</w:t>
      </w:r>
      <w:bookmarkEnd w:id="47"/>
    </w:p>
    <w:p>
      <w:pPr>
        <w:adjustRightInd w:val="0"/>
        <w:ind w:left="160" w:leftChars="50" w:firstLine="624"/>
        <w:textAlignment w:val="baseline"/>
        <w:rPr>
          <w:rFonts w:ascii="仿宋_GB2312" w:cs="Times New Roman"/>
          <w:bCs/>
          <w:spacing w:val="-4"/>
          <w:kern w:val="0"/>
        </w:rPr>
      </w:pPr>
      <w:r>
        <w:rPr>
          <w:rFonts w:hint="eastAsia" w:ascii="仿宋_GB2312" w:cs="Times New Roman"/>
          <w:bCs/>
          <w:spacing w:val="-4"/>
          <w:kern w:val="0"/>
        </w:rPr>
        <w:t>立足东丽科技创新资源集聚优势，强化科研院所创新源头作用，</w:t>
      </w:r>
      <w:r>
        <w:rPr>
          <w:rFonts w:hint="eastAsia"/>
        </w:rPr>
        <w:t>针对科研院所与本地产业对接不足的问题</w:t>
      </w:r>
      <w:r>
        <w:rPr>
          <w:rFonts w:hint="eastAsia" w:ascii="仿宋_GB2312" w:cs="Times New Roman"/>
          <w:bCs/>
          <w:spacing w:val="-4"/>
          <w:kern w:val="0"/>
        </w:rPr>
        <w:t>，</w:t>
      </w:r>
      <w:r>
        <w:rPr>
          <w:rFonts w:hint="eastAsia"/>
        </w:rPr>
        <w:t>以新型研发机构为标杆，</w:t>
      </w:r>
      <w:r>
        <w:rPr>
          <w:rFonts w:hint="eastAsia" w:ascii="仿宋_GB2312" w:cs="Times New Roman"/>
          <w:bCs/>
          <w:spacing w:val="-4"/>
          <w:kern w:val="0"/>
        </w:rPr>
        <w:t>推动产学研用协同创新，探索优势互补、共建共享的技术创新和产业化合作机制，将院所集聚优势转化为新动能蓬勃发展的动力引擎。</w:t>
      </w:r>
    </w:p>
    <w:p>
      <w:pPr>
        <w:adjustRightInd w:val="0"/>
        <w:ind w:left="160" w:leftChars="50" w:firstLine="627"/>
        <w:textAlignment w:val="baseline"/>
        <w:rPr>
          <w:rFonts w:ascii="仿宋_GB2312" w:cs="Times New Roman"/>
          <w:bCs/>
          <w:spacing w:val="-4"/>
          <w:kern w:val="0"/>
        </w:rPr>
      </w:pPr>
      <w:r>
        <w:rPr>
          <w:rFonts w:hint="eastAsia" w:ascii="仿宋_GB2312" w:cs="Times New Roman"/>
          <w:b/>
          <w:bCs/>
          <w:spacing w:val="-4"/>
          <w:kern w:val="0"/>
        </w:rPr>
        <w:t>推进创业式创新，提升科研院所孵化功能。</w:t>
      </w:r>
      <w:r>
        <w:rPr>
          <w:rFonts w:hint="eastAsia" w:ascii="仿宋_GB2312" w:cs="Times New Roman"/>
          <w:bCs/>
          <w:spacing w:val="-4"/>
          <w:kern w:val="0"/>
        </w:rPr>
        <w:t>鼓励科研院所围绕东丽区产业发展重点领域，开展创业式创新，促进科技与经济结合。提升科研院所资源集聚能力，引聚海内外高端人才、重大科技成果和产业资本，吸纳北京高校、科研院所和双创平台溢出资源。提升科研院所孵化服务能力，以建设产业技术研究院等新型研发机构为目标搭建开放式创新体系，引进成果转化、创业孵化等服务机构，探索“研发中心+产业化”运作模式。提升科研院所转化孵化水平，加快技术成果转移转化，推动院所内部创业和裂变发展，衍生孵化一批具有爆发式增长潜力的科技型企业。到</w:t>
      </w:r>
      <w:r>
        <w:rPr>
          <w:rFonts w:cs="Times New Roman"/>
          <w:bCs/>
          <w:spacing w:val="-4"/>
          <w:kern w:val="0"/>
        </w:rPr>
        <w:t>2025</w:t>
      </w:r>
      <w:r>
        <w:rPr>
          <w:rFonts w:hint="eastAsia" w:ascii="仿宋_GB2312" w:cs="Times New Roman"/>
          <w:bCs/>
          <w:spacing w:val="-4"/>
          <w:kern w:val="0"/>
        </w:rPr>
        <w:t>年，经天津市认定的产业技术研究院达到</w:t>
      </w:r>
      <w:r>
        <w:rPr>
          <w:rFonts w:cs="Times New Roman"/>
          <w:bCs/>
          <w:spacing w:val="-4"/>
          <w:kern w:val="0"/>
        </w:rPr>
        <w:t>6</w:t>
      </w:r>
      <w:r>
        <w:rPr>
          <w:rFonts w:hint="eastAsia" w:ascii="仿宋_GB2312" w:cs="Times New Roman"/>
          <w:bCs/>
          <w:spacing w:val="-4"/>
          <w:kern w:val="0"/>
        </w:rPr>
        <w:t>家。</w:t>
      </w:r>
    </w:p>
    <w:p>
      <w:pPr>
        <w:adjustRightInd w:val="0"/>
        <w:ind w:firstLine="627"/>
        <w:textAlignment w:val="baseline"/>
        <w:rPr>
          <w:rFonts w:ascii="仿宋_GB2312" w:cs="Times New Roman"/>
          <w:bCs/>
          <w:spacing w:val="-4"/>
          <w:kern w:val="0"/>
        </w:rPr>
      </w:pPr>
      <w:r>
        <w:rPr>
          <w:rFonts w:hint="eastAsia" w:ascii="仿宋_GB2312" w:cs="Times New Roman"/>
          <w:b/>
          <w:bCs/>
          <w:spacing w:val="-4"/>
          <w:kern w:val="0"/>
        </w:rPr>
        <w:t>加强院企互动，推进院所服务本地企业。</w:t>
      </w:r>
      <w:r>
        <w:rPr>
          <w:rFonts w:hint="eastAsia" w:ascii="仿宋_GB2312" w:cs="Times New Roman"/>
          <w:bCs/>
          <w:spacing w:val="-4"/>
          <w:kern w:val="0"/>
        </w:rPr>
        <w:t>引导科研院所围绕本地产业转型升级需求，提供关键共性技术、生产工艺等面向生产的技术成果，打通科学研究与产品开发间“最后一公里”。支持科研院所面向区内企业开放研发平台、实验设备和检验检测设备，支持企业开展技术研发工作。搭建企业技术需求与科技人才对接平台，针对企业技术难题精准匹配科技人才和创新团队。鼓励科研院所选派“科技专员”到企业开展科技咨询、技术诊断、产品开发、成果转化和科学普及等服务，为企业发展提供科技和智力支撑，提升企业创新能力。引育一批技术转移服务机构，搭建科研院所和科技型企业间成果转移、技术转化桥梁。到</w:t>
      </w:r>
      <w:r>
        <w:rPr>
          <w:rFonts w:cs="Times New Roman"/>
          <w:bCs/>
          <w:spacing w:val="-4"/>
          <w:kern w:val="0"/>
        </w:rPr>
        <w:t>2025</w:t>
      </w:r>
      <w:r>
        <w:rPr>
          <w:rFonts w:hint="eastAsia" w:ascii="仿宋_GB2312" w:cs="Times New Roman"/>
          <w:bCs/>
          <w:spacing w:val="-4"/>
          <w:kern w:val="0"/>
        </w:rPr>
        <w:t>年，科研院所累计为企业提供技术服务超过</w:t>
      </w:r>
      <w:r>
        <w:rPr>
          <w:rFonts w:cs="Times New Roman"/>
          <w:bCs/>
          <w:spacing w:val="-4"/>
          <w:kern w:val="0"/>
        </w:rPr>
        <w:t>500</w:t>
      </w:r>
      <w:r>
        <w:rPr>
          <w:rFonts w:hint="eastAsia" w:ascii="仿宋_GB2312" w:cs="Times New Roman"/>
          <w:bCs/>
          <w:spacing w:val="-4"/>
          <w:kern w:val="0"/>
        </w:rPr>
        <w:t>次</w:t>
      </w:r>
      <w:r>
        <w:rPr>
          <w:rStyle w:val="19"/>
          <w:rFonts w:ascii="仿宋_GB2312" w:cs="Times New Roman"/>
          <w:bCs/>
          <w:spacing w:val="-4"/>
          <w:kern w:val="0"/>
        </w:rPr>
        <w:footnoteReference w:id="0"/>
      </w:r>
      <w:r>
        <w:rPr>
          <w:rFonts w:hint="eastAsia" w:ascii="仿宋_GB2312" w:cs="Times New Roman"/>
          <w:bCs/>
          <w:spacing w:val="-4"/>
          <w:kern w:val="0"/>
        </w:rPr>
        <w:t>。</w:t>
      </w:r>
    </w:p>
    <w:p>
      <w:pPr>
        <w:adjustRightInd w:val="0"/>
        <w:ind w:firstLine="627"/>
        <w:textAlignment w:val="baseline"/>
        <w:rPr>
          <w:rFonts w:ascii="仿宋_GB2312" w:cs="Times New Roman"/>
          <w:b/>
          <w:bCs/>
          <w:spacing w:val="-4"/>
          <w:kern w:val="0"/>
        </w:rPr>
      </w:pPr>
      <w:r>
        <w:rPr>
          <w:rFonts w:hint="eastAsia" w:ascii="仿宋_GB2312" w:cs="Times New Roman"/>
          <w:b/>
          <w:bCs/>
          <w:spacing w:val="-4"/>
          <w:kern w:val="0"/>
        </w:rPr>
        <w:t>坚持科学引导，加强科研院所评估考核。</w:t>
      </w:r>
      <w:r>
        <w:rPr>
          <w:rFonts w:hint="eastAsia" w:ascii="仿宋_GB2312" w:cs="Times New Roman"/>
          <w:spacing w:val="-4"/>
          <w:kern w:val="0"/>
        </w:rPr>
        <w:t>以“</w:t>
      </w:r>
      <w:r>
        <w:rPr>
          <w:rFonts w:hint="eastAsia" w:ascii="仿宋_GB2312" w:cs="Times New Roman"/>
          <w:bCs/>
          <w:spacing w:val="-4"/>
          <w:kern w:val="0"/>
        </w:rPr>
        <w:t>抓精品、抓效益、抓生态”为着力点，推进科研院所提质增效，打造高质量、高效益的科研院所集聚区。不断完善科研院所绩效考核管理办法，强化科研院所转化孵化、技术供给、集聚资源、人才输送和战略导航功能。持续推进科研机构整改提升工作，联合第三方服务机构对科研院所进行年度评估，精准分类定级并逐一制定提升发展方案，建立常态化服务机制。</w:t>
      </w:r>
      <w:r>
        <w:rPr>
          <w:rFonts w:hint="eastAsia" w:ascii="仿宋_GB2312" w:hAnsi="仿宋_GB2312" w:cs="仿宋_GB2312"/>
          <w:snapToGrid w:val="0"/>
          <w:szCs w:val="32"/>
          <w:u w:color="000000"/>
          <w:lang w:val="zh-TW"/>
        </w:rPr>
        <w:t>引导有潜力、有实力的院所提升产业化发展能力，加大政策支持力度提高院所转化效率和衍生孵化企业质量，引导转化前景不好、发展效益低下、发展动力不足的院所有序退出</w:t>
      </w:r>
      <w:r>
        <w:rPr>
          <w:rFonts w:hint="eastAsia" w:ascii="仿宋_GB2312" w:cs="Times New Roman"/>
          <w:bCs/>
          <w:spacing w:val="-4"/>
          <w:kern w:val="0"/>
        </w:rPr>
        <w:t>。到</w:t>
      </w:r>
      <w:r>
        <w:rPr>
          <w:rFonts w:cs="Times New Roman"/>
          <w:bCs/>
          <w:spacing w:val="-4"/>
          <w:kern w:val="0"/>
        </w:rPr>
        <w:t>2025</w:t>
      </w:r>
      <w:r>
        <w:rPr>
          <w:rFonts w:hint="eastAsia" w:ascii="仿宋_GB2312" w:cs="Times New Roman"/>
          <w:bCs/>
          <w:spacing w:val="-4"/>
          <w:kern w:val="0"/>
        </w:rPr>
        <w:t>年，科研院所科技成果转化率提升至</w:t>
      </w:r>
      <w:r>
        <w:rPr>
          <w:rFonts w:cs="Times New Roman"/>
          <w:bCs/>
          <w:spacing w:val="-4"/>
          <w:kern w:val="0"/>
        </w:rPr>
        <w:t>20</w:t>
      </w:r>
      <w:r>
        <w:rPr>
          <w:rFonts w:hint="eastAsia" w:ascii="仿宋_GB2312" w:cs="Times New Roman"/>
          <w:bCs/>
          <w:spacing w:val="-4"/>
          <w:kern w:val="0"/>
        </w:rPr>
        <w:t>%。</w:t>
      </w:r>
    </w:p>
    <w:p>
      <w:pPr>
        <w:keepNext/>
        <w:keepLines/>
        <w:ind w:left="643" w:firstLine="0" w:firstLineChars="0"/>
        <w:outlineLvl w:val="1"/>
        <w:rPr>
          <w:rFonts w:ascii="楷体" w:hAnsi="楷体" w:eastAsia="楷体" w:cs="Times New Roman"/>
          <w:b/>
          <w:bCs/>
          <w:szCs w:val="32"/>
        </w:rPr>
      </w:pPr>
      <w:bookmarkStart w:id="48" w:name="_Toc48224390"/>
      <w:r>
        <w:rPr>
          <w:rFonts w:hint="eastAsia" w:ascii="楷体" w:hAnsi="楷体" w:eastAsia="楷体" w:cs="Times New Roman"/>
          <w:b/>
          <w:bCs/>
          <w:szCs w:val="32"/>
        </w:rPr>
        <w:t>三、推进资源融通引导载体升级</w:t>
      </w:r>
      <w:bookmarkEnd w:id="48"/>
    </w:p>
    <w:p>
      <w:pPr>
        <w:ind w:firstLine="640"/>
        <w:rPr>
          <w:rFonts w:cs="Times New Roman"/>
        </w:rPr>
      </w:pPr>
      <w:r>
        <w:rPr>
          <w:rFonts w:hint="eastAsia" w:cs="Times New Roman"/>
        </w:rPr>
        <w:t>以提高创新创业资源融通效率和质量为导向，推进创新创业服务载体专业化、市场化、特色化升级，构建从“概念验证实验室到</w:t>
      </w:r>
      <w:r>
        <w:rPr>
          <w:rFonts w:cs="Times New Roman"/>
        </w:rPr>
        <w:t>-</w:t>
      </w:r>
      <w:r>
        <w:rPr>
          <w:rFonts w:hint="eastAsia" w:cs="Times New Roman"/>
        </w:rPr>
        <w:t>众创空间</w:t>
      </w:r>
      <w:r>
        <w:rPr>
          <w:rFonts w:cs="Times New Roman"/>
        </w:rPr>
        <w:t>-</w:t>
      </w:r>
      <w:r>
        <w:rPr>
          <w:rFonts w:hint="eastAsia" w:cs="Times New Roman"/>
        </w:rPr>
        <w:t>企业孵化器”的创新孵化链条，完善区域创新创业生态。</w:t>
      </w:r>
    </w:p>
    <w:p>
      <w:pPr>
        <w:ind w:firstLine="643"/>
        <w:rPr>
          <w:rFonts w:cs="Times New Roman"/>
          <w:szCs w:val="32"/>
        </w:rPr>
      </w:pPr>
      <w:r>
        <w:rPr>
          <w:rFonts w:hint="eastAsia" w:cs="Times New Roman"/>
          <w:b/>
        </w:rPr>
        <w:t>聚焦细分产业领域建设专业化众创空间。</w:t>
      </w:r>
      <w:r>
        <w:rPr>
          <w:rFonts w:hint="eastAsia" w:cs="Times New Roman"/>
          <w:bCs/>
        </w:rPr>
        <w:t>推进载体服务对象、孵化条件和服务内容高度专业化，搭建高水平创新创业服务平台，推动科技型创新创业、服务实体经济发展。</w:t>
      </w:r>
      <w:r>
        <w:rPr>
          <w:rFonts w:hint="eastAsia" w:cs="Times New Roman"/>
          <w:snapToGrid w:val="0"/>
          <w:szCs w:val="32"/>
        </w:rPr>
        <w:t>聚焦新材料、医疗器械等细分产业领域，</w:t>
      </w:r>
      <w:r>
        <w:rPr>
          <w:rFonts w:hint="eastAsia" w:cs="Times New Roman"/>
          <w:szCs w:val="32"/>
        </w:rPr>
        <w:t>支持</w:t>
      </w:r>
      <w:r>
        <w:rPr>
          <w:rFonts w:hint="eastAsia" w:cs="Times New Roman"/>
          <w:snapToGrid w:val="0"/>
          <w:szCs w:val="32"/>
        </w:rPr>
        <w:t>金桥巴顿、中科院苏州医工所等科研院所</w:t>
      </w:r>
      <w:r>
        <w:rPr>
          <w:rFonts w:hint="eastAsia" w:cs="Times New Roman"/>
          <w:szCs w:val="32"/>
        </w:rPr>
        <w:t>建设专业化众创空间，</w:t>
      </w:r>
      <w:r>
        <w:rPr>
          <w:rFonts w:hint="eastAsia" w:cs="Times New Roman"/>
          <w:snapToGrid w:val="0"/>
          <w:szCs w:val="32"/>
        </w:rPr>
        <w:t>开放创新研发和市场渠道平台资源，</w:t>
      </w:r>
      <w:r>
        <w:rPr>
          <w:rFonts w:hint="eastAsia" w:cs="Times New Roman"/>
          <w:szCs w:val="32"/>
        </w:rPr>
        <w:t>为创业团队提供专业化创新创业服务。引导蓝华硅谷、青年创新创业学院等综合性众创空间向专业化转型，</w:t>
      </w:r>
      <w:r>
        <w:rPr>
          <w:rFonts w:hint="eastAsia" w:ascii="Arial" w:hAnsi="Arial" w:cs="Arial"/>
          <w:shd w:val="clear" w:color="auto" w:fill="FFFFFF"/>
        </w:rPr>
        <w:t>积极对接北京中关村、上海张江等地知名品牌载体“结对”协同发展</w:t>
      </w:r>
      <w:r>
        <w:rPr>
          <w:rFonts w:hint="eastAsia" w:cs="Times New Roman"/>
          <w:szCs w:val="32"/>
        </w:rPr>
        <w:t>。鼓励并协助载体申报国家级众创空间和国家级专业化众创空间，对于成功获批单位给予支持奖励。到</w:t>
      </w:r>
      <w:r>
        <w:rPr>
          <w:rFonts w:cs="Times New Roman"/>
          <w:szCs w:val="32"/>
        </w:rPr>
        <w:t>2025</w:t>
      </w:r>
      <w:r>
        <w:rPr>
          <w:rFonts w:hint="eastAsia" w:cs="Times New Roman"/>
          <w:szCs w:val="32"/>
        </w:rPr>
        <w:t>年，</w:t>
      </w:r>
      <w:r>
        <w:rPr>
          <w:rFonts w:hint="eastAsia" w:ascii="仿宋_GB2312" w:cs="Times New Roman"/>
          <w:bCs/>
          <w:spacing w:val="-4"/>
          <w:kern w:val="0"/>
        </w:rPr>
        <w:t>建成国家级众创空间</w:t>
      </w:r>
      <w:r>
        <w:rPr>
          <w:rFonts w:cs="Times New Roman"/>
          <w:bCs/>
          <w:spacing w:val="-4"/>
          <w:kern w:val="0"/>
        </w:rPr>
        <w:t>6</w:t>
      </w:r>
      <w:r>
        <w:rPr>
          <w:rFonts w:hint="eastAsia" w:ascii="仿宋_GB2312" w:cs="Times New Roman"/>
          <w:bCs/>
          <w:spacing w:val="-4"/>
          <w:kern w:val="0"/>
        </w:rPr>
        <w:t>家。</w:t>
      </w:r>
    </w:p>
    <w:p>
      <w:pPr>
        <w:ind w:firstLine="643"/>
        <w:rPr>
          <w:rFonts w:cs="Times New Roman"/>
          <w:b/>
        </w:rPr>
      </w:pPr>
      <w:r>
        <w:rPr>
          <w:rFonts w:hint="eastAsia" w:cs="Times New Roman"/>
          <w:b/>
        </w:rPr>
        <w:t>对接科技企业需求建设科技企业孵化器。</w:t>
      </w:r>
      <w:r>
        <w:rPr>
          <w:rFonts w:hint="eastAsia" w:cs="Times New Roman"/>
          <w:bCs/>
        </w:rPr>
        <w:t>以满足科技企业创新发展需求为导向，聚焦“有团队、有基金、有项目、有平台、有服务、有政策”的“六有”标准推进科技企业孵化器建设，促进科技成果转化。</w:t>
      </w:r>
      <w:r>
        <w:rPr>
          <w:rFonts w:hint="eastAsia" w:ascii="Arial" w:hAnsi="Arial" w:cs="Arial"/>
          <w:shd w:val="clear" w:color="auto" w:fill="FFFFFF"/>
        </w:rPr>
        <w:t>支持科技企业孵化器引入综合性科技服务集成商，为在孵企业和创业团队提供一体化、全链条的</w:t>
      </w:r>
      <w:r>
        <w:rPr>
          <w:rFonts w:cs="Times New Roman"/>
          <w:szCs w:val="32"/>
        </w:rPr>
        <w:t>“</w:t>
      </w:r>
      <w:r>
        <w:rPr>
          <w:rFonts w:hint="eastAsia" w:cs="Times New Roman"/>
          <w:szCs w:val="32"/>
        </w:rPr>
        <w:t>基础</w:t>
      </w:r>
      <w:r>
        <w:rPr>
          <w:rFonts w:cs="Times New Roman"/>
          <w:szCs w:val="32"/>
        </w:rPr>
        <w:t>+</w:t>
      </w:r>
      <w:r>
        <w:rPr>
          <w:rFonts w:hint="eastAsia" w:cs="Times New Roman"/>
          <w:szCs w:val="32"/>
        </w:rPr>
        <w:t>增值</w:t>
      </w:r>
      <w:r>
        <w:rPr>
          <w:rFonts w:cs="Times New Roman"/>
          <w:szCs w:val="32"/>
        </w:rPr>
        <w:t>”</w:t>
      </w:r>
      <w:r>
        <w:rPr>
          <w:rFonts w:hint="eastAsia" w:ascii="Arial" w:hAnsi="Arial" w:cs="Arial"/>
          <w:shd w:val="clear" w:color="auto" w:fill="FFFFFF"/>
        </w:rPr>
        <w:t>创业孵化服务。实施“大孵化器”计划，以科丽泰孵化器为核心建设全区孵化器“中台”，统筹全区载体实现科技服务、实验平台和创业导师等双创资源共享。鼓励并协助载体申报国家级科技企业孵化器，对成功获批的载体给予支持奖励。</w:t>
      </w:r>
      <w:r>
        <w:rPr>
          <w:rFonts w:hint="eastAsia" w:ascii="仿宋_GB2312" w:cs="Times New Roman"/>
          <w:bCs/>
          <w:spacing w:val="-4"/>
          <w:kern w:val="0"/>
        </w:rPr>
        <w:t>到</w:t>
      </w:r>
      <w:r>
        <w:rPr>
          <w:rFonts w:cs="Times New Roman"/>
          <w:bCs/>
          <w:spacing w:val="-4"/>
          <w:kern w:val="0"/>
        </w:rPr>
        <w:t>2025</w:t>
      </w:r>
      <w:r>
        <w:rPr>
          <w:rFonts w:hint="eastAsia" w:ascii="仿宋_GB2312" w:cs="Times New Roman"/>
          <w:bCs/>
          <w:spacing w:val="-4"/>
          <w:kern w:val="0"/>
        </w:rPr>
        <w:t>年，建成国家级科技企业孵化器</w:t>
      </w:r>
      <w:r>
        <w:rPr>
          <w:rFonts w:cs="Times New Roman"/>
          <w:bCs/>
          <w:spacing w:val="-4"/>
          <w:kern w:val="0"/>
        </w:rPr>
        <w:t>6</w:t>
      </w:r>
      <w:r>
        <w:rPr>
          <w:rFonts w:hint="eastAsia" w:ascii="仿宋_GB2312" w:cs="Times New Roman"/>
          <w:bCs/>
          <w:spacing w:val="-4"/>
          <w:kern w:val="0"/>
        </w:rPr>
        <w:t>家。</w:t>
      </w:r>
    </w:p>
    <w:p>
      <w:pPr>
        <w:ind w:firstLine="643"/>
        <w:rPr>
          <w:rFonts w:cs="Times New Roman"/>
          <w:b/>
        </w:rPr>
      </w:pPr>
      <w:r>
        <w:rPr>
          <w:rFonts w:hint="eastAsia" w:cs="Times New Roman"/>
          <w:b/>
          <w:szCs w:val="32"/>
        </w:rPr>
        <w:t>加速科技成果转移转化建设新型孵化载体。</w:t>
      </w:r>
      <w:r>
        <w:rPr>
          <w:rFonts w:hint="eastAsia" w:cs="Times New Roman"/>
          <w:szCs w:val="32"/>
        </w:rPr>
        <w:t>依托东丽区科技创新服务资源集聚优势，聚焦科技成果转移转化，新建一批具有东丽特色的新型孵化载体。支持建设商业模式概念验证实验室，通过“线上</w:t>
      </w:r>
      <w:r>
        <w:rPr>
          <w:rFonts w:cs="Times New Roman"/>
          <w:szCs w:val="32"/>
        </w:rPr>
        <w:t>+</w:t>
      </w:r>
      <w:r>
        <w:rPr>
          <w:rFonts w:hint="eastAsia" w:ascii="Arial" w:hAnsi="Arial" w:cs="Arial"/>
          <w:shd w:val="clear" w:color="auto" w:fill="FFFFFF"/>
        </w:rPr>
        <w:t>线下”的运营模式为硬科技创业项目提供商业模式验证、头脑风暴、资源链接及创业培训等专业化、精细化、深层次服务。</w:t>
      </w:r>
      <w:r>
        <w:rPr>
          <w:rFonts w:hint="eastAsia" w:cs="Times New Roman"/>
          <w:bCs/>
          <w:szCs w:val="32"/>
        </w:rPr>
        <w:t>面向工业机器人、增材制造等前沿业态，加强与清华高端院、天津大学、哈尔滨工业大学等高校院所合作，共同建设未来实验室，前瞻培育新兴产业。</w:t>
      </w:r>
      <w:r>
        <w:rPr>
          <w:rFonts w:hint="eastAsia" w:cs="Times New Roman"/>
        </w:rPr>
        <w:t>围绕生物医药、智能网联汽车等重点领域，试点推行业界共治模式，支持多元主体共建联合研发中心，开展关键技术联合攻关与合作。</w:t>
      </w:r>
      <w:r>
        <w:rPr>
          <w:rFonts w:hint="eastAsia" w:ascii="仿宋_GB2312" w:cs="Times New Roman"/>
          <w:bCs/>
          <w:spacing w:val="-4"/>
          <w:kern w:val="0"/>
        </w:rPr>
        <w:t>到</w:t>
      </w:r>
      <w:r>
        <w:rPr>
          <w:rFonts w:cs="Times New Roman"/>
          <w:bCs/>
          <w:spacing w:val="-4"/>
          <w:kern w:val="0"/>
        </w:rPr>
        <w:t>2025</w:t>
      </w:r>
      <w:r>
        <w:rPr>
          <w:rFonts w:hint="eastAsia" w:ascii="仿宋_GB2312" w:cs="Times New Roman"/>
          <w:bCs/>
          <w:spacing w:val="-4"/>
          <w:kern w:val="0"/>
        </w:rPr>
        <w:t>年，初步构建新型孵化载体体系。</w:t>
      </w:r>
    </w:p>
    <w:p>
      <w:pPr>
        <w:keepNext/>
        <w:keepLines/>
        <w:ind w:firstLine="643"/>
        <w:outlineLvl w:val="1"/>
        <w:rPr>
          <w:rFonts w:ascii="楷体" w:hAnsi="楷体" w:eastAsia="楷体" w:cs="Times New Roman"/>
          <w:b/>
          <w:bCs/>
          <w:szCs w:val="32"/>
        </w:rPr>
      </w:pPr>
      <w:bookmarkStart w:id="49" w:name="_Toc48224391"/>
      <w:r>
        <w:rPr>
          <w:rFonts w:hint="eastAsia" w:ascii="楷体" w:hAnsi="楷体" w:eastAsia="楷体" w:cs="Times New Roman"/>
          <w:b/>
          <w:bCs/>
          <w:szCs w:val="32"/>
        </w:rPr>
        <w:t>四、提升服务效能构筑双创高地</w:t>
      </w:r>
      <w:bookmarkEnd w:id="49"/>
    </w:p>
    <w:p>
      <w:pPr>
        <w:adjustRightInd w:val="0"/>
        <w:ind w:firstLine="640"/>
        <w:textAlignment w:val="baseline"/>
        <w:rPr>
          <w:rFonts w:ascii="仿宋_GB2312" w:cs="Times New Roman"/>
          <w:bCs/>
          <w:kern w:val="0"/>
          <w:szCs w:val="32"/>
        </w:rPr>
      </w:pPr>
      <w:r>
        <w:rPr>
          <w:rFonts w:hint="eastAsia" w:ascii="仿宋_GB2312" w:cs="Times New Roman"/>
          <w:bCs/>
          <w:kern w:val="0"/>
          <w:szCs w:val="32"/>
        </w:rPr>
        <w:t>充分发挥科技创新服务的创新创业生态黏合剂作用，集聚一批市场化、专业化科技服务机构，提升科技金融、知识产权、科学技术普及服务能力，营造活跃的创新创业氛围，将东丽打造成创新创业新高地。</w:t>
      </w:r>
    </w:p>
    <w:p>
      <w:pPr>
        <w:adjustRightInd w:val="0"/>
        <w:ind w:firstLine="643"/>
        <w:textAlignment w:val="baseline"/>
        <w:rPr>
          <w:rFonts w:ascii="仿宋_GB2312" w:cs="Times New Roman"/>
          <w:b/>
          <w:szCs w:val="32"/>
        </w:rPr>
      </w:pPr>
      <w:r>
        <w:rPr>
          <w:rFonts w:hint="eastAsia" w:ascii="仿宋_GB2312" w:cs="Times New Roman"/>
          <w:b/>
          <w:bCs/>
          <w:kern w:val="0"/>
          <w:szCs w:val="32"/>
        </w:rPr>
        <w:t>聚焦科技金融提升金融服务实体经济能力。</w:t>
      </w:r>
      <w:r>
        <w:rPr>
          <w:rFonts w:hint="eastAsia" w:ascii="仿宋_GB2312" w:cs="Times New Roman"/>
          <w:kern w:val="0"/>
          <w:szCs w:val="32"/>
        </w:rPr>
        <w:t>打造多元化、综合化金融服务体系，促进金融资本与科技创新、产业升级紧密结合，提高金融服务实体经济能力。做强、做实东丽区科技金融服务平台，大力引入市场化力量，提升科技金融服务平台专业化服务水平。优化科技型企业融资环境，引导金融机构面向科技企业需求开展业务模式创新和产品创新，支持科技型企业灵活运用公司债、双创债融资工具，丰富企业融资方式。充分发挥各类产业基金作用，统筹使用天使投资、创业投资、产业并购引导基金，吸引社会资本参与设立基金，围绕重点产业领域加大对科技型企业和高成长企业投资支持力度。</w:t>
      </w:r>
      <w:r>
        <w:rPr>
          <w:rFonts w:hint="eastAsia" w:ascii="Arial" w:hAnsi="Arial" w:cs="Arial"/>
          <w:shd w:val="clear" w:color="auto" w:fill="FFFFFF"/>
        </w:rPr>
        <w:t>推进科技型企业上市，对标上海、深圳等科技金融服务高地，完善主板、科创板等上市挂牌服务机制，提高企业直接融资效率。</w:t>
      </w:r>
      <w:r>
        <w:rPr>
          <w:rFonts w:hint="eastAsia" w:ascii="仿宋_GB2312" w:cs="Times New Roman"/>
          <w:kern w:val="0"/>
          <w:szCs w:val="32"/>
        </w:rPr>
        <w:t>以强化金融监管为重点，提高防范化解金融风险能力，守住不发生系统性金融风险的底线。</w:t>
      </w:r>
      <w:r>
        <w:rPr>
          <w:rFonts w:hint="eastAsia" w:ascii="仿宋_GB2312" w:cs="Times New Roman"/>
          <w:spacing w:val="-4"/>
          <w:kern w:val="0"/>
        </w:rPr>
        <w:t>到</w:t>
      </w:r>
      <w:r>
        <w:rPr>
          <w:rFonts w:cs="Times New Roman"/>
          <w:spacing w:val="-4"/>
          <w:kern w:val="0"/>
        </w:rPr>
        <w:t>2025</w:t>
      </w:r>
      <w:r>
        <w:rPr>
          <w:rFonts w:hint="eastAsia" w:ascii="仿宋_GB2312" w:cs="Times New Roman"/>
          <w:spacing w:val="-4"/>
          <w:kern w:val="0"/>
        </w:rPr>
        <w:t>年，推动</w:t>
      </w:r>
      <w:r>
        <w:rPr>
          <w:rFonts w:cs="Times New Roman"/>
          <w:spacing w:val="-4"/>
          <w:kern w:val="0"/>
        </w:rPr>
        <w:t>3</w:t>
      </w:r>
      <w:r>
        <w:rPr>
          <w:rFonts w:hint="eastAsia" w:ascii="仿宋_GB2312" w:cs="Times New Roman"/>
          <w:spacing w:val="-4"/>
          <w:kern w:val="0"/>
        </w:rPr>
        <w:t>家以上科技型企业上市。</w:t>
      </w:r>
    </w:p>
    <w:p>
      <w:pPr>
        <w:ind w:firstLine="643"/>
        <w:rPr>
          <w:rFonts w:ascii="仿宋_GB2312" w:cs="Times New Roman"/>
          <w:bCs/>
          <w:szCs w:val="32"/>
        </w:rPr>
      </w:pPr>
      <w:bookmarkStart w:id="50" w:name="_Hlk46090095"/>
      <w:r>
        <w:rPr>
          <w:rFonts w:hint="eastAsia" w:ascii="仿宋_GB2312" w:cs="Times New Roman"/>
          <w:b/>
          <w:szCs w:val="32"/>
        </w:rPr>
        <w:t>发挥平台优势健全知识产权服务体系。</w:t>
      </w:r>
      <w:bookmarkEnd w:id="50"/>
      <w:r>
        <w:rPr>
          <w:rFonts w:hint="eastAsia" w:ascii="仿宋_GB2312" w:cs="Times New Roman"/>
          <w:bCs/>
          <w:szCs w:val="32"/>
        </w:rPr>
        <w:t>以满足科技创新需求为导向，推进国家知识产权运营服务体系示范城市建设，以知识产权服务能力提升助力引育新动能。以国家知识产权局专利局专利审查协作天津中心为核心，推进载体设施和专利综合服务平台升级改造，建设以知识产权代理、交易、托管、转化等服务为核心的知识产权服务业聚集区，汇集一批知识产权服务机构，培育</w:t>
      </w:r>
      <w:r>
        <w:rPr>
          <w:rFonts w:cs="Times New Roman"/>
          <w:bCs/>
          <w:szCs w:val="32"/>
        </w:rPr>
        <w:t>5</w:t>
      </w:r>
      <w:r>
        <w:rPr>
          <w:rFonts w:hint="eastAsia" w:ascii="仿宋_GB2312" w:cs="Times New Roman"/>
          <w:bCs/>
          <w:szCs w:val="32"/>
        </w:rPr>
        <w:t>家以上高质量的专业化知识产权运营机构。围绕新一代汽车技术、高端装备制造等重点领域，组建</w:t>
      </w:r>
      <w:r>
        <w:rPr>
          <w:rFonts w:cs="Times New Roman"/>
          <w:bCs/>
          <w:szCs w:val="32"/>
        </w:rPr>
        <w:t>5</w:t>
      </w:r>
      <w:r>
        <w:rPr>
          <w:rFonts w:hint="eastAsia" w:ascii="仿宋_GB2312" w:cs="Times New Roman"/>
          <w:bCs/>
          <w:szCs w:val="32"/>
        </w:rPr>
        <w:t>个以上重点产业知识产权联盟和</w:t>
      </w:r>
      <w:r>
        <w:rPr>
          <w:rFonts w:cs="Times New Roman"/>
          <w:bCs/>
          <w:szCs w:val="32"/>
        </w:rPr>
        <w:t>5</w:t>
      </w:r>
      <w:r>
        <w:rPr>
          <w:rFonts w:hint="eastAsia" w:ascii="仿宋_GB2312" w:cs="Times New Roman"/>
          <w:bCs/>
          <w:szCs w:val="32"/>
        </w:rPr>
        <w:t>个以上产业专利池，实现知识产权交易、许可额年均增幅</w:t>
      </w:r>
      <w:r>
        <w:rPr>
          <w:rFonts w:cs="Times New Roman"/>
          <w:bCs/>
          <w:szCs w:val="32"/>
        </w:rPr>
        <w:t>20</w:t>
      </w:r>
      <w:r>
        <w:rPr>
          <w:rFonts w:hint="eastAsia" w:ascii="仿宋_GB2312" w:cs="Times New Roman"/>
          <w:bCs/>
          <w:szCs w:val="32"/>
        </w:rPr>
        <w:t>%以上。通过政府购买服务等方式公开遴选一批知识产权服务机构，面向至少</w:t>
      </w:r>
      <w:r>
        <w:rPr>
          <w:rFonts w:cs="Times New Roman"/>
          <w:bCs/>
          <w:szCs w:val="32"/>
        </w:rPr>
        <w:t>1000</w:t>
      </w:r>
      <w:r>
        <w:rPr>
          <w:rFonts w:hint="eastAsia" w:ascii="仿宋_GB2312" w:cs="Times New Roman"/>
          <w:bCs/>
          <w:szCs w:val="32"/>
        </w:rPr>
        <w:t>家中小微企业开展知识产权托管服务，</w:t>
      </w:r>
      <w:bookmarkStart w:id="51" w:name="_Hlk46090119"/>
      <w:r>
        <w:rPr>
          <w:rFonts w:hint="eastAsia" w:ascii="仿宋_GB2312" w:cs="Times New Roman"/>
          <w:bCs/>
          <w:szCs w:val="32"/>
        </w:rPr>
        <w:t>全面提升企业专利普及率，提高中小微企业知识产权综合能力和水平</w:t>
      </w:r>
      <w:bookmarkEnd w:id="51"/>
      <w:r>
        <w:rPr>
          <w:rFonts w:hint="eastAsia" w:ascii="仿宋_GB2312" w:cs="Times New Roman"/>
          <w:bCs/>
          <w:szCs w:val="32"/>
        </w:rPr>
        <w:t>。</w:t>
      </w:r>
    </w:p>
    <w:p>
      <w:pPr>
        <w:ind w:firstLine="643"/>
        <w:rPr>
          <w:rFonts w:ascii="仿宋_GB2312" w:cs="Times New Roman"/>
          <w:szCs w:val="32"/>
        </w:rPr>
      </w:pPr>
      <w:bookmarkStart w:id="52" w:name="_Hlk46153356"/>
      <w:r>
        <w:rPr>
          <w:rFonts w:hint="eastAsia" w:ascii="仿宋_GB2312" w:cs="Times New Roman"/>
          <w:b/>
          <w:szCs w:val="32"/>
        </w:rPr>
        <w:t>推进全域科普工作打造“创新之翼”</w:t>
      </w:r>
      <w:bookmarkEnd w:id="52"/>
      <w:r>
        <w:rPr>
          <w:rFonts w:hint="eastAsia" w:ascii="仿宋_GB2312" w:cs="Times New Roman"/>
          <w:b/>
          <w:szCs w:val="32"/>
        </w:rPr>
        <w:t>。</w:t>
      </w:r>
      <w:bookmarkStart w:id="53" w:name="_Hlk46153445"/>
      <w:r>
        <w:rPr>
          <w:rFonts w:hint="eastAsia" w:ascii="仿宋_GB2312" w:cs="Times New Roman"/>
          <w:szCs w:val="32"/>
        </w:rPr>
        <w:t>以提升全民科学素质为目标，以支撑双创升级为导向，加大科学技术普及经费投入力度，提升全域科普工作水平</w:t>
      </w:r>
      <w:bookmarkEnd w:id="53"/>
      <w:r>
        <w:rPr>
          <w:rFonts w:hint="eastAsia" w:ascii="仿宋_GB2312" w:cs="Times New Roman"/>
          <w:szCs w:val="32"/>
        </w:rPr>
        <w:t>。以东丽区科技馆为骨干，以区内优质科研院所为补充，建立一批主题性科普教育基地。支持街道社区党群服务中心开辟科普场所或科普板块，加强园区高新技术科普宣传，通过科普讲坛、科普社团服务、科学沙龙和技术交流等开展科普公共服务。利用公共交通、户外电子屏、楼宇电视等各类媒介及微博、微信、短视频等新媒体渠道，探索“互联网+科普”模式，促进科普产品、创新文化在基层和大众广泛传播。到</w:t>
      </w:r>
      <w:r>
        <w:rPr>
          <w:rFonts w:cs="Times New Roman"/>
          <w:szCs w:val="32"/>
        </w:rPr>
        <w:t>2025</w:t>
      </w:r>
      <w:r>
        <w:rPr>
          <w:rFonts w:hint="eastAsia" w:ascii="仿宋_GB2312" w:cs="Times New Roman"/>
          <w:szCs w:val="32"/>
        </w:rPr>
        <w:t>年，基本形成全领域行动、全地域覆盖、全媒体传播、全民参与共享的全域科普工作体系。</w:t>
      </w:r>
    </w:p>
    <w:p>
      <w:pPr>
        <w:ind w:firstLine="643"/>
        <w:rPr>
          <w:rFonts w:ascii="仿宋_GB2312" w:cs="Times New Roman"/>
          <w:szCs w:val="32"/>
        </w:rPr>
      </w:pPr>
      <w:r>
        <w:rPr>
          <w:rFonts w:hint="eastAsia" w:ascii="仿宋_GB2312" w:cs="Times New Roman"/>
          <w:b/>
          <w:szCs w:val="32"/>
        </w:rPr>
        <w:t>打造品牌活动营造活跃的创新创业氛围。</w:t>
      </w:r>
      <w:r>
        <w:rPr>
          <w:rFonts w:hint="eastAsia" w:ascii="仿宋_GB2312" w:cs="Times New Roman"/>
          <w:bCs/>
          <w:szCs w:val="32"/>
        </w:rPr>
        <w:t>搭建创新创业活动平台，</w:t>
      </w:r>
      <w:r>
        <w:rPr>
          <w:rFonts w:hint="eastAsia" w:ascii="仿宋_GB2312" w:cs="Times New Roman"/>
          <w:szCs w:val="32"/>
        </w:rPr>
        <w:t>打造东丽双创服务品牌，吸引高端人才和团队到东丽创业。聚焦</w:t>
      </w:r>
      <w:r>
        <w:rPr>
          <w:rFonts w:hint="eastAsia"/>
        </w:rPr>
        <w:t>智能制造、生态建设等区域特色，</w:t>
      </w:r>
      <w:r>
        <w:rPr>
          <w:rFonts w:hint="eastAsia" w:ascii="仿宋_GB2312" w:cs="Times New Roman"/>
          <w:bCs/>
          <w:szCs w:val="32"/>
        </w:rPr>
        <w:t>在东丽经开区、华明高新区和东丽湖建设</w:t>
      </w:r>
      <w:r>
        <w:rPr>
          <w:rFonts w:ascii="仿宋_GB2312" w:cs="Times New Roman"/>
          <w:bCs/>
          <w:szCs w:val="32"/>
        </w:rPr>
        <w:t>“</w:t>
      </w:r>
      <w:r>
        <w:rPr>
          <w:rFonts w:hint="eastAsia" w:ascii="仿宋_GB2312" w:cs="Times New Roman"/>
          <w:bCs/>
          <w:szCs w:val="32"/>
        </w:rPr>
        <w:t>智能+</w:t>
      </w:r>
      <w:r>
        <w:rPr>
          <w:rFonts w:ascii="仿宋_GB2312" w:cs="Times New Roman"/>
          <w:bCs/>
          <w:szCs w:val="32"/>
        </w:rPr>
        <w:t>”</w:t>
      </w:r>
      <w:r>
        <w:rPr>
          <w:rFonts w:hint="eastAsia" w:ascii="仿宋_GB2312" w:cs="Times New Roman"/>
          <w:bCs/>
          <w:szCs w:val="32"/>
        </w:rPr>
        <w:t>、</w:t>
      </w:r>
      <w:r>
        <w:rPr>
          <w:rFonts w:ascii="仿宋_GB2312" w:cs="Times New Roman"/>
          <w:bCs/>
          <w:szCs w:val="32"/>
        </w:rPr>
        <w:t>“</w:t>
      </w:r>
      <w:r>
        <w:rPr>
          <w:rFonts w:hint="eastAsia" w:ascii="仿宋_GB2312" w:cs="Times New Roman"/>
          <w:bCs/>
          <w:szCs w:val="32"/>
        </w:rPr>
        <w:t>生态</w:t>
      </w:r>
      <w:r>
        <w:rPr>
          <w:rFonts w:ascii="仿宋_GB2312" w:cs="Times New Roman"/>
          <w:bCs/>
          <w:szCs w:val="32"/>
        </w:rPr>
        <w:t>+”</w:t>
      </w:r>
      <w:r>
        <w:rPr>
          <w:rFonts w:hint="eastAsia" w:ascii="仿宋_GB2312" w:cs="Times New Roman"/>
          <w:bCs/>
          <w:szCs w:val="32"/>
        </w:rPr>
        <w:t>品牌街区，打造创业企业、孵化载体和服务机构集聚的双创空间。</w:t>
      </w:r>
      <w:r>
        <w:rPr>
          <w:rFonts w:hint="eastAsia"/>
        </w:rPr>
        <w:t>举办</w:t>
      </w:r>
      <w:r>
        <w:rPr>
          <w:rFonts w:hint="eastAsia" w:ascii="仿宋_GB2312" w:cs="Times New Roman"/>
          <w:szCs w:val="32"/>
        </w:rPr>
        <w:t>创新创业系列活动，</w:t>
      </w:r>
      <w:r>
        <w:rPr>
          <w:rFonts w:hint="eastAsia"/>
        </w:rPr>
        <w:t>承办具有较高影响力的创新创业大赛，</w:t>
      </w:r>
      <w:r>
        <w:rPr>
          <w:rFonts w:hint="eastAsia" w:ascii="仿宋_GB2312" w:cs="Times New Roman"/>
          <w:szCs w:val="32"/>
        </w:rPr>
        <w:t>形成常态化活动机制。加强“创业动员”，</w:t>
      </w:r>
      <w:r>
        <w:rPr>
          <w:rFonts w:hint="eastAsia"/>
        </w:rPr>
        <w:t>多渠道、立体化宣传东丽区创业优惠政策和创新创业成果，发布创新型企业、创业者标杆等典型案例，提升企业、人才的创新创业积极性。</w:t>
      </w:r>
      <w:r>
        <w:rPr>
          <w:rFonts w:hint="eastAsia" w:ascii="仿宋_GB2312" w:cs="Times New Roman"/>
          <w:szCs w:val="32"/>
        </w:rPr>
        <w:t>到</w:t>
      </w:r>
      <w:r>
        <w:rPr>
          <w:rFonts w:cs="Times New Roman"/>
          <w:szCs w:val="32"/>
        </w:rPr>
        <w:t>2025</w:t>
      </w:r>
      <w:r>
        <w:rPr>
          <w:rFonts w:hint="eastAsia" w:ascii="仿宋_GB2312" w:cs="Times New Roman"/>
          <w:szCs w:val="32"/>
        </w:rPr>
        <w:t>年，创新创业平台年均举办双创活动</w:t>
      </w:r>
      <w:r>
        <w:rPr>
          <w:rFonts w:cs="Times New Roman"/>
          <w:szCs w:val="32"/>
        </w:rPr>
        <w:t>50</w:t>
      </w:r>
      <w:r>
        <w:rPr>
          <w:rFonts w:hint="eastAsia" w:ascii="仿宋_GB2312" w:cs="Times New Roman"/>
          <w:szCs w:val="32"/>
        </w:rPr>
        <w:t>次。</w:t>
      </w:r>
    </w:p>
    <w:p>
      <w:pPr>
        <w:keepNext/>
        <w:keepLines/>
        <w:ind w:firstLine="643"/>
        <w:outlineLvl w:val="1"/>
        <w:rPr>
          <w:rFonts w:ascii="楷体" w:hAnsi="楷体" w:eastAsia="楷体" w:cs="Times New Roman"/>
          <w:b/>
          <w:bCs/>
          <w:szCs w:val="32"/>
        </w:rPr>
      </w:pPr>
      <w:bookmarkStart w:id="54" w:name="_Toc48224392"/>
      <w:r>
        <w:rPr>
          <w:rFonts w:hint="eastAsia" w:ascii="楷体" w:hAnsi="楷体" w:eastAsia="楷体" w:cs="Times New Roman"/>
          <w:b/>
          <w:bCs/>
          <w:szCs w:val="32"/>
        </w:rPr>
        <w:t>五</w:t>
      </w:r>
      <w:r>
        <w:rPr>
          <w:rFonts w:ascii="楷体" w:hAnsi="楷体" w:eastAsia="楷体" w:cs="Times New Roman"/>
          <w:b/>
          <w:bCs/>
          <w:szCs w:val="32"/>
        </w:rPr>
        <w:t>、</w:t>
      </w:r>
      <w:r>
        <w:rPr>
          <w:rFonts w:hint="eastAsia" w:ascii="楷体" w:hAnsi="楷体" w:eastAsia="楷体" w:cs="Times New Roman"/>
          <w:b/>
          <w:bCs/>
          <w:szCs w:val="32"/>
        </w:rPr>
        <w:t>积极筑巢引凤集聚高端人才</w:t>
      </w:r>
      <w:bookmarkEnd w:id="54"/>
    </w:p>
    <w:p>
      <w:pPr>
        <w:ind w:firstLine="640"/>
        <w:rPr>
          <w:rFonts w:cs="Times New Roman"/>
        </w:rPr>
      </w:pPr>
      <w:r>
        <w:rPr>
          <w:rFonts w:hint="eastAsia" w:cs="Times New Roman"/>
        </w:rPr>
        <w:t>充分发挥高端人才的引领带动和关键支撑作用，升级的关键作用，围绕城市发展需求、聚焦重点领域，统筹做好高层次产业创新人才、高端创业人才等东丽紧缺人才队伍建设，同步打造优越的人才生根服务环境，持续优化区域生态。</w:t>
      </w:r>
    </w:p>
    <w:p>
      <w:pPr>
        <w:ind w:firstLine="643"/>
        <w:rPr>
          <w:rFonts w:ascii="Arial" w:hAnsi="Arial" w:cs="Arial"/>
          <w:shd w:val="clear" w:color="auto" w:fill="FFFFFF"/>
        </w:rPr>
      </w:pPr>
      <w:r>
        <w:rPr>
          <w:rFonts w:hint="eastAsia" w:cs="Times New Roman"/>
          <w:b/>
        </w:rPr>
        <w:t>精准对接引聚高层次产业和创新人才。</w:t>
      </w:r>
      <w:r>
        <w:rPr>
          <w:rFonts w:hint="eastAsia" w:cs="Times New Roman"/>
          <w:bCs/>
        </w:rPr>
        <w:t>落实“海河英才”行动计划，</w:t>
      </w:r>
      <w:r>
        <w:rPr>
          <w:rFonts w:hint="eastAsia" w:cs="Times New Roman"/>
        </w:rPr>
        <w:t>通过精准对接、柔性引聚等方式，加快引育高层次产业和创新人才，服务区域发展。聚焦我区重点发展领域，开辟战略性新兴产业领军企业人才引进绿色通道，为企业引进急需型人才提供便利。实施科学家合伙人计划，支持区内企业、科研院所建立首席科学家机制，引入“两院”院士、国家最高科学技术奖获得者、国家“万人计划”专家等高层次人才。完善企业与高校人才联合培养和双向流动机制，与知名高校共建实践基地，畅通企业引才渠道。</w:t>
      </w:r>
      <w:r>
        <w:rPr>
          <w:rFonts w:hint="eastAsia" w:ascii="仿宋_GB2312" w:cs="Times New Roman"/>
          <w:bCs/>
          <w:spacing w:val="-4"/>
          <w:kern w:val="0"/>
        </w:rPr>
        <w:t>到</w:t>
      </w:r>
      <w:r>
        <w:rPr>
          <w:rFonts w:cs="Times New Roman"/>
          <w:bCs/>
          <w:spacing w:val="-4"/>
          <w:kern w:val="0"/>
        </w:rPr>
        <w:t>2025</w:t>
      </w:r>
      <w:r>
        <w:rPr>
          <w:rFonts w:hint="eastAsia" w:ascii="仿宋_GB2312" w:cs="Times New Roman"/>
          <w:bCs/>
          <w:spacing w:val="-4"/>
          <w:kern w:val="0"/>
        </w:rPr>
        <w:t>年，</w:t>
      </w:r>
      <w:r>
        <w:rPr>
          <w:rFonts w:hint="eastAsia" w:ascii="Arial" w:hAnsi="Arial" w:cs="Arial"/>
          <w:shd w:val="clear" w:color="auto" w:fill="FFFFFF"/>
        </w:rPr>
        <w:t>引聚</w:t>
      </w:r>
      <w:r>
        <w:rPr>
          <w:rFonts w:hint="eastAsia" w:cs="Times New Roman"/>
        </w:rPr>
        <w:t>“两院”院士、国家最高科学技术奖获得者、国家“万人计划”专家等高层次人才</w:t>
      </w:r>
      <w:r>
        <w:rPr>
          <w:rFonts w:cs="Times New Roman"/>
          <w:bCs/>
          <w:spacing w:val="-4"/>
          <w:kern w:val="0"/>
        </w:rPr>
        <w:t>150</w:t>
      </w:r>
      <w:r>
        <w:rPr>
          <w:rFonts w:hint="eastAsia" w:ascii="仿宋_GB2312" w:cs="Times New Roman"/>
          <w:bCs/>
          <w:spacing w:val="-4"/>
          <w:kern w:val="0"/>
        </w:rPr>
        <w:t>人</w:t>
      </w:r>
      <w:r>
        <w:rPr>
          <w:rFonts w:hint="eastAsia" w:ascii="Arial" w:hAnsi="Arial" w:cs="Arial"/>
          <w:shd w:val="clear" w:color="auto" w:fill="FFFFFF"/>
        </w:rPr>
        <w:t>。</w:t>
      </w:r>
    </w:p>
    <w:p>
      <w:pPr>
        <w:ind w:firstLine="643"/>
        <w:rPr>
          <w:rFonts w:cs="Times New Roman"/>
        </w:rPr>
      </w:pPr>
      <w:r>
        <w:rPr>
          <w:rFonts w:hint="eastAsia" w:cs="Times New Roman"/>
          <w:b/>
        </w:rPr>
        <w:t>聚焦高端创业打造东丽创业“新四军”。</w:t>
      </w:r>
      <w:r>
        <w:rPr>
          <w:rFonts w:hint="eastAsia" w:cs="Times New Roman"/>
        </w:rPr>
        <w:t>深入推进“大众创业，万众创新”，围绕科研人员、连续成功创业者、海外高层次人才和驻津校友，打造东丽创业“新四军”。支持科研人员创业，鼓励高等院校、科研院所等事业单位的科研人员兼职创业。支持连续性创业，开通北京人才引进绿色通道，对接北京中关村等创新创业高地，引聚连续成功创业者。支持海外高层次人才创业，面向硅谷、波士顿等创新创业高地，制定海外人才招引图谱，吸引海外高层次人才带技术、带项目、带团队来东丽创业。支持驻津校友来东丽创业，聚焦重点产业领域实施“校友归津计划”，围绕天津大学、南开大学、民航大学等高校搭建天津校友创业服务网络，支持校友企业家建立生态圈，吸引上下游关联企业到东丽再创业。</w:t>
      </w:r>
      <w:r>
        <w:rPr>
          <w:rFonts w:hint="eastAsia" w:ascii="仿宋_GB2312" w:cs="Times New Roman"/>
          <w:bCs/>
          <w:spacing w:val="-4"/>
          <w:kern w:val="0"/>
        </w:rPr>
        <w:t>到</w:t>
      </w:r>
      <w:r>
        <w:rPr>
          <w:rFonts w:cs="Times New Roman"/>
          <w:bCs/>
          <w:spacing w:val="-4"/>
          <w:kern w:val="0"/>
        </w:rPr>
        <w:t>2025</w:t>
      </w:r>
      <w:r>
        <w:rPr>
          <w:rFonts w:hint="eastAsia" w:ascii="仿宋_GB2312" w:cs="Times New Roman"/>
          <w:bCs/>
          <w:spacing w:val="-4"/>
          <w:kern w:val="0"/>
        </w:rPr>
        <w:t>年，引进</w:t>
      </w:r>
      <w:r>
        <w:rPr>
          <w:rFonts w:hint="eastAsia" w:ascii="Arial" w:hAnsi="Arial" w:cs="Arial"/>
          <w:shd w:val="clear" w:color="auto" w:fill="FFFFFF"/>
        </w:rPr>
        <w:t>各类创业人才超过</w:t>
      </w:r>
      <w:r>
        <w:rPr>
          <w:rFonts w:cs="Times New Roman"/>
          <w:bCs/>
          <w:spacing w:val="-4"/>
          <w:kern w:val="0"/>
        </w:rPr>
        <w:t>20000</w:t>
      </w:r>
      <w:r>
        <w:rPr>
          <w:rFonts w:hint="eastAsia" w:ascii="仿宋_GB2312" w:cs="Times New Roman"/>
          <w:bCs/>
          <w:spacing w:val="-4"/>
          <w:kern w:val="0"/>
        </w:rPr>
        <w:t>人</w:t>
      </w:r>
      <w:r>
        <w:rPr>
          <w:rFonts w:hint="eastAsia" w:ascii="Arial" w:hAnsi="Arial" w:cs="Arial"/>
          <w:shd w:val="clear" w:color="auto" w:fill="FFFFFF"/>
        </w:rPr>
        <w:t>。</w:t>
      </w:r>
    </w:p>
    <w:p>
      <w:pPr>
        <w:ind w:firstLine="643"/>
        <w:rPr>
          <w:rFonts w:ascii="黑体" w:hAnsi="黑体" w:eastAsia="黑体" w:cs="Times New Roman"/>
          <w:b/>
          <w:spacing w:val="-4"/>
          <w:kern w:val="44"/>
          <w:sz w:val="36"/>
          <w:szCs w:val="36"/>
        </w:rPr>
      </w:pPr>
      <w:r>
        <w:rPr>
          <w:rFonts w:hint="eastAsia" w:cs="Times New Roman"/>
          <w:b/>
        </w:rPr>
        <w:t>营造宜业宜创人才发展环境。</w:t>
      </w:r>
      <w:r>
        <w:rPr>
          <w:rFonts w:hint="eastAsia" w:cs="Times New Roman"/>
        </w:rPr>
        <w:t>面向高层次产业创新人才、高端创新创业团队和高技能人才，完善人才引进服务，优化人才发展环境。建设创业社区，盘活利用闲置厂房和楼宇，打造一批青年品质公寓，为青年创业者提供快、新、便的生活配套服务。实施精英服务计划，面向高端人才子女入学、就医就诊、安居养老等需求，提供“保姆式”配套服务。建设“一站式”人才服务平台，提供人才认定申报、人才职称申报、人才补贴申请、税收优惠等在线服务。搭建高端人才合作交流平台，依托东丽湖、临空经济区等载体，举办国际科技成果交易会、国际科技论坛等全球性会议，引导高层次人才、国际化项目等高端产业创新要素有效集聚。到</w:t>
      </w:r>
      <w:r>
        <w:rPr>
          <w:rFonts w:cs="Times New Roman"/>
        </w:rPr>
        <w:t>2025</w:t>
      </w:r>
      <w:r>
        <w:rPr>
          <w:rFonts w:hint="eastAsia" w:cs="Times New Roman"/>
        </w:rPr>
        <w:t>年，形成全市领先的人才服务和发展环境</w:t>
      </w:r>
      <w:bookmarkEnd w:id="45"/>
      <w:r>
        <w:rPr>
          <w:rFonts w:hint="eastAsia" w:cs="Times New Roman"/>
        </w:rPr>
        <w:t>。</w:t>
      </w:r>
      <w:bookmarkEnd w:id="43"/>
      <w:bookmarkStart w:id="55" w:name="_Hlk37876854"/>
      <w:r>
        <w:br w:type="page"/>
      </w:r>
    </w:p>
    <w:bookmarkEnd w:id="55"/>
    <w:p>
      <w:pPr>
        <w:pStyle w:val="2"/>
      </w:pPr>
      <w:bookmarkStart w:id="56" w:name="_Toc48224393"/>
      <w:bookmarkStart w:id="57" w:name="_Toc37662909"/>
      <w:bookmarkStart w:id="58" w:name="_Toc37662918"/>
      <w:bookmarkStart w:id="59" w:name="_Toc440357956"/>
      <w:r>
        <w:rPr>
          <w:rFonts w:hint="eastAsia"/>
        </w:rPr>
        <w:t>第五章</w:t>
      </w:r>
      <w:r>
        <w:t xml:space="preserve"> </w:t>
      </w:r>
      <w:r>
        <w:rPr>
          <w:rFonts w:hint="eastAsia"/>
        </w:rPr>
        <w:t>品质先行，建设智慧都市新区</w:t>
      </w:r>
      <w:bookmarkEnd w:id="56"/>
    </w:p>
    <w:p>
      <w:pPr>
        <w:ind w:left="160" w:leftChars="50" w:firstLine="624"/>
        <w:rPr>
          <w:rFonts w:ascii="仿宋_GB2312" w:cs="Times New Roman"/>
          <w:bCs/>
          <w:spacing w:val="-4"/>
          <w:kern w:val="0"/>
        </w:rPr>
      </w:pPr>
      <w:bookmarkStart w:id="60" w:name="_Hlk36715991"/>
      <w:r>
        <w:rPr>
          <w:rFonts w:hint="eastAsia" w:ascii="仿宋_GB2312" w:cs="Times New Roman"/>
          <w:bCs/>
          <w:spacing w:val="-4"/>
          <w:kern w:val="0"/>
        </w:rPr>
        <w:t>把握津滨双城空间发展格局重构机遇，发挥我区地处津滨通道主轴、紧邻主城的区位优势，以全面融入主城区为目标，以提高城市品质为导向，以功能布局优化带动城市空间布局优化，同步提升城市管理水平与全域城市化品质，为经济社会发展拓展空间、释放红利，同时承接主城外溢居住、服务与产业需求，</w:t>
      </w:r>
      <w:r>
        <w:rPr>
          <w:rFonts w:hint="eastAsia" w:ascii="仿宋_GB2312" w:hAnsi="仿宋" w:cs="Times New Roman"/>
          <w:spacing w:val="-4"/>
          <w:kern w:val="0"/>
          <w:szCs w:val="32"/>
        </w:rPr>
        <w:t>建成与主城功能协同互补、品质优越</w:t>
      </w:r>
      <w:r>
        <w:rPr>
          <w:rFonts w:hint="eastAsia" w:ascii="仿宋_GB2312" w:cs="Times New Roman"/>
          <w:bCs/>
          <w:spacing w:val="-4"/>
          <w:kern w:val="0"/>
        </w:rPr>
        <w:t>的智慧都市新区。</w:t>
      </w:r>
      <w:bookmarkEnd w:id="60"/>
    </w:p>
    <w:p>
      <w:pPr>
        <w:pStyle w:val="3"/>
      </w:pPr>
      <w:bookmarkStart w:id="61" w:name="_Toc48224394"/>
      <w:r>
        <w:rPr>
          <w:rFonts w:hint="eastAsia"/>
        </w:rPr>
        <w:t>一、融入主城增强城市综合服务功能</w:t>
      </w:r>
      <w:bookmarkEnd w:id="61"/>
    </w:p>
    <w:p>
      <w:pPr>
        <w:ind w:firstLine="640"/>
        <w:rPr>
          <w:bCs/>
        </w:rPr>
      </w:pPr>
      <w:r>
        <w:rPr>
          <w:rFonts w:hint="eastAsia"/>
          <w:bCs/>
        </w:rPr>
        <w:t>围绕全面融入主城发展的战略导向，面向主城创新发展需求，针对东丽交通、设施配套、商业服务等城市功能短板，全面提升交通枢纽、基础设施、商服配套等城市综合服务能力，积极承接主城区外溢服务需求，实现对主城综合服务功能的补充和提升。</w:t>
      </w:r>
    </w:p>
    <w:p>
      <w:pPr>
        <w:ind w:firstLine="643"/>
      </w:pPr>
      <w:r>
        <w:rPr>
          <w:rFonts w:hint="eastAsia"/>
          <w:b/>
          <w:bCs/>
        </w:rPr>
        <w:t>构建综合交通运输体系，增强城市发展交通运输保障。</w:t>
      </w:r>
      <w:r>
        <w:rPr>
          <w:rFonts w:hint="eastAsia"/>
        </w:rPr>
        <w:t>落实“交通强国”建设要求，构建便捷顺畅的城市交通网络，形成绿色、优质、高效的交通运输服务体系，强化区域津滨双城间交通节点功能。协调推进地铁</w:t>
      </w:r>
      <w:r>
        <w:t>4</w:t>
      </w:r>
      <w:r>
        <w:rPr>
          <w:rFonts w:hint="eastAsia"/>
        </w:rPr>
        <w:t>、</w:t>
      </w:r>
      <w:r>
        <w:t>10</w:t>
      </w:r>
      <w:r>
        <w:rPr>
          <w:rFonts w:hint="eastAsia"/>
        </w:rPr>
        <w:t>、</w:t>
      </w:r>
      <w:r>
        <w:t>11、</w:t>
      </w:r>
      <w:r>
        <w:rPr>
          <w:rFonts w:hint="eastAsia"/>
        </w:rPr>
        <w:t>1</w:t>
      </w:r>
      <w:r>
        <w:t>3</w:t>
      </w:r>
      <w:r>
        <w:rPr>
          <w:rFonts w:hint="eastAsia"/>
        </w:rPr>
        <w:t>号线及滨海</w:t>
      </w:r>
      <w:r>
        <w:t>Z2</w:t>
      </w:r>
      <w:r>
        <w:rPr>
          <w:rFonts w:hint="eastAsia"/>
        </w:rPr>
        <w:t>线东丽支线建设，加强华明街、东丽湖等北部片区与主城区轨道交通对接。加密城市路网，实施南北通道贯通、断头路打通工程，形成快速路、主次干路和支路级配合理的路网系统。推进城市公共交通设施建设，优化完善公交线网，增加公交线路和停车场站，实现区域公交站点</w:t>
      </w:r>
      <w:r>
        <w:t>500</w:t>
      </w:r>
      <w:r>
        <w:rPr>
          <w:rFonts w:hint="eastAsia"/>
        </w:rPr>
        <w:t>米全覆盖，强化城市公共交通与其他交通方式衔接。打通道路微循环，完善城市步行和非机动车交通系统，提升步行、自行车等出行品质，完善无障碍设施。布局新能源汽车充电服务网络和加氢设施，全面推进居民区、公交场站和企事业单位内部充电设施建设，试点建设加氢站。构建绿色高效的交通运输服务体系，强化航空运输多元特色服务，打造高效集约的铁路、公路和城市综合运输服务体系，建设空、铁、陆、港多式联运体系。到</w:t>
      </w:r>
      <w:r>
        <w:t>2025</w:t>
      </w:r>
      <w:r>
        <w:rPr>
          <w:rFonts w:hint="eastAsia"/>
        </w:rPr>
        <w:t>年，</w:t>
      </w:r>
      <w:r>
        <w:rPr>
          <w:rFonts w:hint="eastAsia" w:ascii="仿宋_GB2312" w:hAnsi="仿宋_GB2312" w:cs="仿宋_GB2312"/>
          <w:szCs w:val="32"/>
        </w:rPr>
        <w:t>建成“</w:t>
      </w:r>
      <w:r>
        <w:rPr>
          <w:rFonts w:cs="仿宋_GB2312"/>
          <w:szCs w:val="32"/>
        </w:rPr>
        <w:t>13015</w:t>
      </w:r>
      <w:r>
        <w:rPr>
          <w:rFonts w:hint="eastAsia" w:ascii="仿宋_GB2312" w:hAnsi="仿宋_GB2312" w:cs="仿宋_GB2312"/>
          <w:szCs w:val="32"/>
        </w:rPr>
        <w:t>”交通圈，</w:t>
      </w:r>
      <w:r>
        <w:rPr>
          <w:rFonts w:hint="eastAsia"/>
        </w:rPr>
        <w:t>公路路网密度达到</w:t>
      </w:r>
      <w:r>
        <w:t>80</w:t>
      </w:r>
      <w:r>
        <w:rPr>
          <w:rFonts w:hint="eastAsia"/>
        </w:rPr>
        <w:t>公里</w:t>
      </w:r>
      <w:r>
        <w:t>/</w:t>
      </w:r>
      <w:r>
        <w:rPr>
          <w:rFonts w:hint="eastAsia"/>
        </w:rPr>
        <w:t>百平方公里，常规公交分担率达到</w:t>
      </w:r>
      <w:r>
        <w:t>40%</w:t>
      </w:r>
      <w:r>
        <w:rPr>
          <w:rFonts w:hint="eastAsia"/>
        </w:rPr>
        <w:t>，</w:t>
      </w:r>
      <w:r>
        <w:rPr>
          <w:rFonts w:hint="eastAsia"/>
          <w:szCs w:val="32"/>
        </w:rPr>
        <w:t>绿色、优质、高效的交通运输服务体系全面形成</w:t>
      </w:r>
      <w:r>
        <w:rPr>
          <w:rFonts w:hint="eastAsia"/>
        </w:rPr>
        <w:t>。</w:t>
      </w:r>
    </w:p>
    <w:p>
      <w:pPr>
        <w:ind w:firstLine="643"/>
      </w:pPr>
      <w:r>
        <w:rPr>
          <w:rFonts w:hint="eastAsia"/>
          <w:b/>
          <w:bCs/>
        </w:rPr>
        <w:t>布局新型基础设施建设，拓展未来创新发展空间。</w:t>
      </w:r>
      <w:r>
        <w:rPr>
          <w:rFonts w:hint="eastAsia"/>
          <w:bCs/>
        </w:rPr>
        <w:t>以服务新动能培育和传统实体经济智能化转型为导向，布局</w:t>
      </w:r>
      <w:r>
        <w:rPr>
          <w:bCs/>
        </w:rPr>
        <w:t>5G</w:t>
      </w:r>
      <w:r>
        <w:rPr>
          <w:rFonts w:hint="eastAsia"/>
          <w:bCs/>
        </w:rPr>
        <w:t>（</w:t>
      </w:r>
      <w:r>
        <w:rPr>
          <w:rFonts w:hint="eastAsia"/>
        </w:rPr>
        <w:t>第五代移动通信</w:t>
      </w:r>
      <w:r>
        <w:rPr>
          <w:rFonts w:hint="eastAsia"/>
          <w:bCs/>
        </w:rPr>
        <w:t>）、工业互联网、智能交通等信息基础设施和等融合基础设施，夯实绿色高质量发展新基础。</w:t>
      </w:r>
      <w:r>
        <w:rPr>
          <w:rFonts w:hint="eastAsia"/>
        </w:rPr>
        <w:t>部署</w:t>
      </w:r>
      <w:r>
        <w:t>5G</w:t>
      </w:r>
      <w:r>
        <w:rPr>
          <w:rFonts w:hint="eastAsia"/>
        </w:rPr>
        <w:t>通信网络，加快</w:t>
      </w:r>
      <w:r>
        <w:t>5G</w:t>
      </w:r>
      <w:r>
        <w:rPr>
          <w:rFonts w:hint="eastAsia"/>
        </w:rPr>
        <w:t>基站建设和商用试点布局，提升</w:t>
      </w:r>
      <w:r>
        <w:t>5G</w:t>
      </w:r>
      <w:r>
        <w:rPr>
          <w:rFonts w:hint="eastAsia"/>
        </w:rPr>
        <w:t>无线互联网接入点数量。加大通信枢纽和骨干网建设力度，推动全区光纤网络全覆盖，推进物联网网络基础设施建设。以</w:t>
      </w:r>
      <w:r>
        <w:t>IPv6</w:t>
      </w:r>
      <w:r>
        <w:rPr>
          <w:rFonts w:hint="eastAsia"/>
        </w:rPr>
        <w:t>（互联网协议第六版）的特色应用为切入点，开展</w:t>
      </w:r>
      <w:r>
        <w:t>IPv6</w:t>
      </w:r>
      <w:r>
        <w:rPr>
          <w:rFonts w:hint="eastAsia"/>
        </w:rPr>
        <w:t>的规模部署与生态建设，带动网络、终端协同发展。部署低延时、高可靠、广覆盖的工业互联网，引导大企业业务系统云化改造，推动中小企业业务云端迁移。</w:t>
      </w:r>
      <w:r>
        <w:rPr>
          <w:rFonts w:hint="eastAsia" w:cs="Times New Roman"/>
          <w:shd w:val="clear" w:color="auto" w:fill="FFFFFF"/>
        </w:rPr>
        <w:t>布局融合基础设施，围绕新一代汽车技术发展需要</w:t>
      </w:r>
      <w:r>
        <w:rPr>
          <w:rFonts w:hint="eastAsia"/>
        </w:rPr>
        <w:t>推进东丽经开区智能网联汽车基础设施建设，对接滨海国际机场智慧机场需求加快临空经济区智能化基础设施建设。到</w:t>
      </w:r>
      <w:r>
        <w:t>2025</w:t>
      </w:r>
      <w:r>
        <w:rPr>
          <w:rFonts w:hint="eastAsia"/>
        </w:rPr>
        <w:t>年，实现全区</w:t>
      </w:r>
      <w:r>
        <w:t>5G</w:t>
      </w:r>
      <w:r>
        <w:rPr>
          <w:rFonts w:hint="eastAsia"/>
        </w:rPr>
        <w:t>网络、光纤网络全覆盖，信息和融合基础设施建设达到国内先进水平。</w:t>
      </w:r>
    </w:p>
    <w:p>
      <w:pPr>
        <w:ind w:firstLine="643"/>
      </w:pPr>
      <w:r>
        <w:rPr>
          <w:rFonts w:hint="eastAsia"/>
          <w:b/>
          <w:bCs/>
        </w:rPr>
        <w:t>提升市政设施服务能力，增强人居环境品质。</w:t>
      </w:r>
      <w:r>
        <w:rPr>
          <w:rFonts w:hint="eastAsia"/>
        </w:rPr>
        <w:t>坚持前瞻布局，以海绵城市和地下综合管廊为重点，推进市政基础设施建设，缓解城区内涝和</w:t>
      </w:r>
      <w:r>
        <w:rPr>
          <w:rFonts w:hint="eastAsia"/>
          <w:shd w:val="clear" w:color="auto" w:fill="FFFFFF"/>
        </w:rPr>
        <w:t>反复开挖地面的“马路拉链”问题</w:t>
      </w:r>
      <w:r>
        <w:rPr>
          <w:rFonts w:hint="eastAsia"/>
        </w:rPr>
        <w:t>。因地制宜采取多元化海绵措施，新建地区优先保护自然生态本底、以海绵目标指标为导向控制开发强度，老旧地区结合城区改造和城市更新解决道路积水、水体黑臭等问题。以东丽湖为试点建设地下综合管廊，综合利用地下空间资源，统筹各类管线铺设，</w:t>
      </w:r>
      <w:r>
        <w:rPr>
          <w:rFonts w:hint="eastAsia"/>
          <w:szCs w:val="32"/>
        </w:rPr>
        <w:t>实现供水、电力、燃气、热力、通信、排水等地下管线统一规划、设计、施工和维护。</w:t>
      </w:r>
      <w:r>
        <w:rPr>
          <w:rFonts w:hint="eastAsia"/>
        </w:rPr>
        <w:t>推进智能电网和泛在电力物联网建设运营，加快供电线路改造以及配电网信息化、自动化、智能化改造。到</w:t>
      </w:r>
      <w:r>
        <w:t>2025</w:t>
      </w:r>
      <w:r>
        <w:rPr>
          <w:rFonts w:hint="eastAsia"/>
        </w:rPr>
        <w:t>年，新建城市地下综合管廊</w:t>
      </w:r>
      <w:r>
        <w:t>10</w:t>
      </w:r>
      <w:r>
        <w:rPr>
          <w:rFonts w:hint="eastAsia"/>
        </w:rPr>
        <w:t>公里以上，建成区</w:t>
      </w:r>
      <w:r>
        <w:t>50%</w:t>
      </w:r>
      <w:r>
        <w:rPr>
          <w:rFonts w:hint="eastAsia"/>
        </w:rPr>
        <w:t>以上面积达到海绵城市目标要求。</w:t>
      </w:r>
    </w:p>
    <w:p>
      <w:pPr>
        <w:ind w:firstLine="643"/>
        <w:rPr>
          <w:rFonts w:ascii="黑体" w:hAnsi="黑体" w:eastAsia="黑体" w:cs="Times New Roman"/>
          <w:b/>
          <w:spacing w:val="-4"/>
          <w:kern w:val="44"/>
          <w:sz w:val="36"/>
          <w:szCs w:val="36"/>
        </w:rPr>
      </w:pPr>
      <w:r>
        <w:rPr>
          <w:rFonts w:hint="eastAsia"/>
          <w:b/>
          <w:bCs/>
        </w:rPr>
        <w:t>发展新消费培育新业态，完善城市商业配套服务。</w:t>
      </w:r>
      <w:r>
        <w:rPr>
          <w:rFonts w:hint="eastAsia"/>
        </w:rPr>
        <w:t>根据居民分布、消费习惯和购买力水平特征，优化商业配套业态和网点布局，解决东丽都市商业发展滞后和分布不均的问题。引入万达、金茂等都市商业综合服务商，推进大型购物中心、城市综合体和步行商业街区建设，重点培育</w:t>
      </w:r>
      <w:r>
        <w:t>VR</w:t>
      </w:r>
      <w:r>
        <w:rPr>
          <w:rFonts w:hint="eastAsia"/>
        </w:rPr>
        <w:t>体验、数字娱乐、“网红”打卡地等新业态。鼓励现有商业载体改造升级，引导新业广场、红星美凯龙等载体</w:t>
      </w:r>
      <w:r>
        <w:rPr>
          <w:rFonts w:hint="eastAsia" w:ascii="仿宋_GB2312"/>
          <w:szCs w:val="28"/>
        </w:rPr>
        <w:t>加强线上线下联动、挖掘消费潜力，打造具有更大影响力的消费新地标。</w:t>
      </w:r>
      <w:r>
        <w:rPr>
          <w:rFonts w:hint="eastAsia"/>
        </w:rPr>
        <w:t>推进社区便民商业设施建设，</w:t>
      </w:r>
      <w:r>
        <w:rPr>
          <w:rFonts w:hint="eastAsia" w:ascii="仿宋_GB2312"/>
          <w:szCs w:val="28"/>
        </w:rPr>
        <w:t>发展</w:t>
      </w:r>
      <w:r>
        <w:rPr>
          <w:szCs w:val="28"/>
        </w:rPr>
        <w:t>711</w:t>
      </w:r>
      <w:r>
        <w:rPr>
          <w:rFonts w:hint="eastAsia" w:ascii="仿宋_GB2312"/>
          <w:szCs w:val="28"/>
        </w:rPr>
        <w:t>、便利蜂、罗森等连锁便利店，与大中型商业设施错位互补发展。</w:t>
      </w:r>
      <w:r>
        <w:rPr>
          <w:rFonts w:hint="eastAsia"/>
        </w:rPr>
        <w:t>创新商业设施服务功能，发展无人零售、“跨境电商</w:t>
      </w:r>
      <w:r>
        <w:t>+</w:t>
      </w:r>
      <w:r>
        <w:rPr>
          <w:rFonts w:hint="eastAsia"/>
        </w:rPr>
        <w:t>海外仓”等新零售模式，打造买手店、定制店等体验式业态。到</w:t>
      </w:r>
      <w:r>
        <w:t>2025</w:t>
      </w:r>
      <w:r>
        <w:rPr>
          <w:rFonts w:hint="eastAsia"/>
        </w:rPr>
        <w:t>年，形成布局协调、层次分明、业态先进的商贸设施和网点体系，建成“</w:t>
      </w:r>
      <w:r>
        <w:t>15</w:t>
      </w:r>
      <w:r>
        <w:rPr>
          <w:rFonts w:hint="eastAsia"/>
        </w:rPr>
        <w:t>分钟便民消费圈”，全面承接主城区外溢生活服务需求。</w:t>
      </w:r>
    </w:p>
    <w:p>
      <w:pPr>
        <w:pStyle w:val="3"/>
      </w:pPr>
      <w:bookmarkStart w:id="62" w:name="_Toc48224395"/>
      <w:r>
        <w:rPr>
          <w:rFonts w:hint="eastAsia"/>
        </w:rPr>
        <w:t>二、提升城市空间品质塑造新都市风貌</w:t>
      </w:r>
      <w:bookmarkEnd w:id="62"/>
    </w:p>
    <w:p>
      <w:pPr>
        <w:ind w:firstLine="624"/>
      </w:pPr>
      <w:bookmarkStart w:id="63" w:name="_Hlk43299365"/>
      <w:r>
        <w:rPr>
          <w:rFonts w:hint="eastAsia" w:ascii="仿宋_GB2312" w:cs="Times New Roman"/>
          <w:bCs/>
          <w:spacing w:val="-4"/>
          <w:kern w:val="0"/>
        </w:rPr>
        <w:t>树立现代化城市规划建设理念，</w:t>
      </w:r>
      <w:r>
        <w:rPr>
          <w:rFonts w:hint="eastAsia"/>
        </w:rPr>
        <w:t>以当前城市空间结构为基础</w:t>
      </w:r>
      <w:r>
        <w:rPr>
          <w:rFonts w:hint="eastAsia" w:ascii="仿宋_GB2312" w:cs="Times New Roman"/>
          <w:bCs/>
          <w:spacing w:val="-4"/>
          <w:kern w:val="0"/>
        </w:rPr>
        <w:t>，坚持高点定位、天津特色，以融入主城区为导向，落实天津市“一市两城多节点”、“一环十一园”、绿色生态屏障等上位规划要求，优化城市功能空间、产业发展空间和绿色生态空间布局，</w:t>
      </w:r>
      <w:r>
        <w:rPr>
          <w:rFonts w:hint="eastAsia"/>
        </w:rPr>
        <w:t>提升东丽区城市形象与城市活力。</w:t>
      </w:r>
    </w:p>
    <w:p>
      <w:pPr>
        <w:ind w:firstLine="643"/>
        <w:rPr>
          <w:rFonts w:ascii="仿宋_GB2312"/>
          <w:bCs/>
          <w:szCs w:val="32"/>
        </w:rPr>
      </w:pPr>
      <w:r>
        <w:rPr>
          <w:rFonts w:hint="eastAsia"/>
          <w:b/>
        </w:rPr>
        <w:t>优化</w:t>
      </w:r>
      <w:r>
        <w:rPr>
          <w:rFonts w:hint="eastAsia"/>
          <w:b/>
          <w:bCs/>
        </w:rPr>
        <w:t>“两城两带四区”</w:t>
      </w:r>
      <w:r>
        <w:rPr>
          <w:rFonts w:hint="eastAsia"/>
          <w:b/>
        </w:rPr>
        <w:t>城市空间格局</w:t>
      </w:r>
      <w:r>
        <w:rPr>
          <w:rFonts w:hint="eastAsia"/>
        </w:rPr>
        <w:t>。</w:t>
      </w:r>
      <w:bookmarkStart w:id="64" w:name="_Hlk46225582"/>
      <w:r>
        <w:rPr>
          <w:rFonts w:hint="eastAsia"/>
        </w:rPr>
        <w:t>坚持加速融入主城，增强片区发展活力，优化城市空间格局。以增强城市功能、打造高品质城区为导向建设“两城”，滨河城市中心区涵盖新立街、丰年村、张贵庄及东丽经开区核心区，重点强化政治文化中心功能，提升商务商贸和生活配套服务，打造津滨通道主轴重要节点；临空新城核心区涵盖万新街和临空经济区，对标主城品质、协同国际航空城发展，加快土地开发整理，落实“一环十一园”规划打造程林津滨城市活力区，积极布局新型基础设施，构建海空、空铁、陆港联动体系，打造现代化临空新城。</w:t>
      </w:r>
      <w:r>
        <w:rPr>
          <w:rFonts w:hint="eastAsia"/>
          <w:bCs/>
        </w:rPr>
        <w:t>以推进城市人文与自然生态融合、加强城市组团衔接为导向打造“两带”，南部海河中游城市发展带以引领中部发展为目标，加速海河中游北岸规划建设，拓展现代化城市发展空间，提升区域发展能级；</w:t>
      </w:r>
      <w:bookmarkEnd w:id="64"/>
      <w:r>
        <w:rPr>
          <w:rFonts w:hint="eastAsia"/>
          <w:bCs/>
        </w:rPr>
        <w:t>北部绿色生态创新发展带强化华明高新区创新驱动作用，发挥东丽湖、金钟河湿地、华明都市农业片区等生态资源优势，推进城市绿色创新发展。以凸显城市特色、促进产城融合为导向提升“四区”，</w:t>
      </w:r>
      <w:r>
        <w:rPr>
          <w:rFonts w:hint="eastAsia" w:ascii="仿宋_GB2312"/>
          <w:bCs/>
          <w:szCs w:val="32"/>
        </w:rPr>
        <w:t>金钟战略预留区以服务主城、留存未来发展战略空间为导向，深化街域总体规划，加快土地开发整理，优化交通路网布局，健全基础设施和服务配套，打造天津大事件预留地；</w:t>
      </w:r>
      <w:r>
        <w:rPr>
          <w:rFonts w:hint="eastAsia"/>
          <w:bCs/>
        </w:rPr>
        <w:t>华明产城融合区涵盖华明街道和华新街道，强化高新区创新发展驱动内涵要求，加强高品质住宅建设和社区管理，推进产业、居住、生态功能融合发展</w:t>
      </w:r>
      <w:r>
        <w:rPr>
          <w:rFonts w:hint="eastAsia" w:ascii="仿宋_GB2312"/>
          <w:bCs/>
          <w:szCs w:val="32"/>
        </w:rPr>
        <w:t>；东丽湖绿色生态区发挥优越的自然生态环境优势，大力引聚高端产业创新要素，</w:t>
      </w:r>
      <w:r>
        <w:rPr>
          <w:rFonts w:hint="eastAsia"/>
          <w:bCs/>
        </w:rPr>
        <w:t>完善公共交通及轨道交通布局，补足教育、医疗、商业等配套服务短板，</w:t>
      </w:r>
      <w:r>
        <w:rPr>
          <w:rFonts w:hint="eastAsia" w:ascii="仿宋_GB2312"/>
          <w:bCs/>
          <w:szCs w:val="32"/>
        </w:rPr>
        <w:t>打造宜居宜业的生态型城市样板；</w:t>
      </w:r>
      <w:r>
        <w:rPr>
          <w:rFonts w:hint="eastAsia"/>
          <w:bCs/>
        </w:rPr>
        <w:t>军粮城文化商务区涵盖军粮城、无瑕和金桥街道，依托军粮城北站、借势国家会展中心，</w:t>
      </w:r>
      <w:r>
        <w:rPr>
          <w:rFonts w:hint="eastAsia" w:ascii="仿宋_GB2312"/>
          <w:bCs/>
          <w:szCs w:val="32"/>
        </w:rPr>
        <w:t>发挥“高铁+生态+新市镇”叠加优势，</w:t>
      </w:r>
      <w:r>
        <w:rPr>
          <w:rFonts w:hint="eastAsia"/>
          <w:bCs/>
        </w:rPr>
        <w:t>深挖漕运文化资源和海河生态</w:t>
      </w:r>
      <w:r>
        <w:rPr>
          <w:rFonts w:hint="eastAsia"/>
        </w:rPr>
        <w:t>资源潜力，强化文化和商务服务功能，打造独具特色的城市文化名片。</w:t>
      </w:r>
    </w:p>
    <w:p>
      <w:pPr>
        <w:ind w:firstLine="643"/>
        <w:rPr>
          <w:rFonts w:ascii="仿宋_GB2312"/>
          <w:bCs/>
          <w:szCs w:val="32"/>
        </w:rPr>
      </w:pPr>
      <w:r>
        <w:rPr>
          <w:rFonts w:hint="eastAsia" w:ascii="仿宋_GB2312"/>
          <w:b/>
          <w:bCs/>
          <w:szCs w:val="32"/>
        </w:rPr>
        <w:t>打造“一核三极”产业空间布局。</w:t>
      </w:r>
      <w:r>
        <w:rPr>
          <w:rFonts w:hint="eastAsia" w:ascii="仿宋_GB2312"/>
          <w:bCs/>
          <w:szCs w:val="32"/>
        </w:rPr>
        <w:t>以明确核心区、打造增长极为目标，坚持专业集聚、错位发展、存量优化、增量提升原则，打造“一核三极”、实现“四区共进”。建设东丽经开区动能转换核心引领区，推进“一区多园”改革，加速经开区二次提升，发挥国家级经开区制度优势提升对外合作水平，推进新旧动能转换，重点发展新一代汽车技术、新材料、高端医疗器械和高端商务商贸，以氢能科技园为核心构建氢能产业园生态圈，集聚优势产业重点企业总部和研发机构。打造临空经济区新经济增长极，积极申请国家级临空经济示范区，加快土地整理开发与载体建设，重点发展高端商务商贸、信息技术服务、智能制造装备等具有高临空指向性的创新经济和航空枢纽经济，强化自贸区开放功能，与滨海国际机场和天津港保税区合作拓展智慧机场、绿色物流等应用场景，共同打造国际航空物流中心。打造华明高新区新经济增长极，推进国家级自主创新示范区华明片区建设，对标国家级高新区标准建设新经济科技园区，重点发展智能制造装备、前沿新兴材料和高端医疗器械，加速推进科研院所科技成果转移转化，重点培育雏鹰、瞪羚、潜在独角兽等新经济企业，推进知识产权小镇建设，优化创新创业生态。打造东丽湖新经济增长极，以建设国家级现代服务业集聚区为目标，放大东丽湖生态环境优势对高端产业创新要素的吸引作用，重点发展高端商务商贸、智慧医疗服务和科技服务，加速高端人才和项目集聚，为科技创新企业发展营造良好环境。</w:t>
      </w:r>
    </w:p>
    <w:p>
      <w:pPr>
        <w:ind w:firstLine="643"/>
      </w:pPr>
      <w:r>
        <w:rPr>
          <w:rFonts w:hint="eastAsia" w:ascii="仿宋_GB2312"/>
          <w:b/>
        </w:rPr>
        <w:t>统筹“一廊两芯两环六片区”生态空间布局。</w:t>
      </w:r>
      <w:r>
        <w:rPr>
          <w:rFonts w:hint="eastAsia" w:ascii="仿宋_GB2312"/>
        </w:rPr>
        <w:t>落实天津市绿色生态屏障建设要求，立足全域视角，统筹利用林地、河湖湿地等生态资源，因地制宜突显东丽特色，构建全域生态安全格局。建设古海岸湿地绿廊，推进“天”字骨架等重点区域造林绿化，提升东减河南段水质优化湿地空间，打造军粮城漕运文化带与金桥特色农业基地，构建具有东丽特色的生态绿色廊道。打造海河生态绿芯与东丽湖湿地蓝芯，海河生态绿芯重点推进21平方公里森林建设，提升环境防护、水源涵养等生态功能，形成海河生态发展轴重要节点和品质优越的慢生活体验地；东丽湖湿地蓝芯围绕东丽湖生态资源，推进水质净化与生态环境维护工作，打造养心、养肺、养胃、养身、养智的近郊旅游目的地。提升南、北两大绿环，在生态屏障区南部与北部分别形成绿色生态、生产、生活环，绿色生态环串联森林、河流、湖泊、湿地、农田等生态要素，绿色生活环串联居住、购物、出行、游憩等生活场所，绿色生产环串联工业制造、农业种植、商业服务业、智慧智能产业等生产活动，实现生态功能与生产、生活功能紧密衔接。推进六大生态片区建设，金钟河湿地片区重点推进金钟河湿地生态恢复，推动生态资源综合利用；双湖富氧游憩区重点依托东丽湖生态资源，提升休闲旅游与健康养生功能；华明有机田园区重点推进胡张庄田园综合体等项目建设，提升绿色生产与田园观光功能；文化融合体验区重点推进军粮城漕运文化带、金桥生态园、滨丽创意农业园等项目建设，提升文化传承与农业生产功能；林水涵养区重点推进森林、河湖景观打造，统筹发展水源涵养与休闲游憩功能；环境防护区重点推进绿化防护带与景观带建设，优化空气质量。</w:t>
      </w:r>
    </w:p>
    <w:bookmarkEnd w:id="63"/>
    <w:p>
      <w:pPr>
        <w:pStyle w:val="3"/>
      </w:pPr>
      <w:bookmarkStart w:id="65" w:name="_Toc48224396"/>
      <w:r>
        <w:rPr>
          <w:rFonts w:hint="eastAsia"/>
        </w:rPr>
        <w:t>三、聚焦治理短板提升城市管理水平</w:t>
      </w:r>
      <w:bookmarkEnd w:id="65"/>
    </w:p>
    <w:p>
      <w:pPr>
        <w:tabs>
          <w:tab w:val="left" w:pos="709"/>
        </w:tabs>
        <w:ind w:firstLine="624"/>
        <w:rPr>
          <w:b/>
          <w:bCs/>
        </w:rPr>
      </w:pPr>
      <w:bookmarkStart w:id="66" w:name="_Hlk43299797"/>
      <w:r>
        <w:rPr>
          <w:rFonts w:hint="eastAsia" w:ascii="仿宋_GB2312" w:cs="Times New Roman"/>
          <w:bCs/>
          <w:spacing w:val="-4"/>
          <w:kern w:val="0"/>
        </w:rPr>
        <w:t>树立“城市经营、精明增长</w:t>
      </w:r>
      <w:r>
        <w:rPr>
          <w:rStyle w:val="19"/>
          <w:rFonts w:ascii="仿宋_GB2312" w:cs="Times New Roman"/>
          <w:bCs/>
          <w:spacing w:val="-4"/>
          <w:kern w:val="0"/>
        </w:rPr>
        <w:footnoteReference w:id="1"/>
      </w:r>
      <w:r>
        <w:rPr>
          <w:rFonts w:hint="eastAsia" w:ascii="仿宋_GB2312" w:cs="Times New Roman"/>
          <w:bCs/>
          <w:spacing w:val="-4"/>
          <w:kern w:val="0"/>
        </w:rPr>
        <w:t>”理念，坚持向管理要效益，</w:t>
      </w:r>
      <w:bookmarkEnd w:id="66"/>
      <w:bookmarkStart w:id="67" w:name="_Hlk43299805"/>
      <w:r>
        <w:rPr>
          <w:rFonts w:hint="eastAsia" w:ascii="仿宋_GB2312" w:cs="Times New Roman"/>
          <w:bCs/>
          <w:spacing w:val="-4"/>
          <w:kern w:val="0"/>
        </w:rPr>
        <w:t>将经营意识引入城市规划、建设和管理中，针对东丽区“社区之表、农村之实”问题，开展城市管理系统化、智能化、社会化、精细化提升工程，</w:t>
      </w:r>
      <w:bookmarkEnd w:id="67"/>
      <w:r>
        <w:rPr>
          <w:rFonts w:hint="eastAsia" w:ascii="仿宋_GB2312" w:cs="Times New Roman"/>
          <w:bCs/>
          <w:spacing w:val="-4"/>
          <w:kern w:val="0"/>
        </w:rPr>
        <w:t>推动城市发展由粗放扩张向内涵提升转变，促进城市高效有序运行。</w:t>
      </w:r>
    </w:p>
    <w:p>
      <w:pPr>
        <w:ind w:firstLine="643"/>
      </w:pPr>
      <w:r>
        <w:rPr>
          <w:rFonts w:hint="eastAsia"/>
          <w:b/>
          <w:bCs/>
        </w:rPr>
        <w:t>落实“全周期”理念推进城市管理系统化。</w:t>
      </w:r>
      <w:r>
        <w:rPr>
          <w:rFonts w:hint="eastAsia"/>
          <w:bCs/>
        </w:rPr>
        <w:t>针对东丽区城市管理系统性、连贯性不足的问题，</w:t>
      </w:r>
      <w:r>
        <w:rPr>
          <w:rFonts w:hint="eastAsia"/>
        </w:rPr>
        <w:t>树牢“全周期管理”理念，坚持统筹协调、分工负责，形成系统化城市管理模式。统筹推进“多规合一”，促进国土空间规划与产业发展、生态建设等专项规划的有效衔接，</w:t>
      </w:r>
      <w:r>
        <w:rPr>
          <w:rFonts w:hint="eastAsia" w:ascii="仿宋_GB2312" w:hAnsi="仿宋_GB2312" w:cs="仿宋_GB2312"/>
          <w:szCs w:val="32"/>
        </w:rPr>
        <w:t>理顺</w:t>
      </w:r>
      <w:r>
        <w:rPr>
          <w:rFonts w:hint="eastAsia"/>
        </w:rPr>
        <w:t>各规划</w:t>
      </w:r>
      <w:r>
        <w:rPr>
          <w:rFonts w:hint="eastAsia" w:ascii="仿宋_GB2312" w:hAnsi="仿宋_GB2312" w:cs="仿宋_GB2312"/>
          <w:szCs w:val="32"/>
        </w:rPr>
        <w:t>内容、机制和行政管理关系</w:t>
      </w:r>
      <w:r>
        <w:rPr>
          <w:rFonts w:hint="eastAsia"/>
        </w:rPr>
        <w:t>。统筹城市规划、建设和管理等环节，推进统一规划、规范建设和科学管理，提高城市建设与管理服务水平。加大城市管理综合整治力度，全面开展城市净化、绿化、序化、美化、亮化工程，提升城市形象。深化城市长效管理机制，健全规范、稳定、配套的城市管理目标体系，定期部署落实重点工作，加强现场检查、考核评价和监督管理。到</w:t>
      </w:r>
      <w:r>
        <w:t>2025</w:t>
      </w:r>
      <w:r>
        <w:rPr>
          <w:rFonts w:hint="eastAsia"/>
        </w:rPr>
        <w:t>年，革新城市管理模式，全面推行系统化城市管理。</w:t>
      </w:r>
    </w:p>
    <w:p>
      <w:pPr>
        <w:ind w:firstLine="643"/>
        <w:rPr>
          <w:rFonts w:ascii="仿宋_GB2312"/>
        </w:rPr>
      </w:pPr>
      <w:r>
        <w:rPr>
          <w:rFonts w:hint="eastAsia"/>
          <w:b/>
          <w:bCs/>
        </w:rPr>
        <w:t>引入数字科技推进城市管理智能化。</w:t>
      </w:r>
      <w:r>
        <w:rPr>
          <w:rFonts w:hint="eastAsia"/>
          <w:snapToGrid w:val="0"/>
          <w:szCs w:val="32"/>
        </w:rPr>
        <w:t>运用大数据、云计算、区块链、人工智能等前沿技术推动城市管理手段创新</w:t>
      </w:r>
      <w:r>
        <w:rPr>
          <w:rFonts w:hint="eastAsia" w:ascii="仿宋_GB2312"/>
          <w:snapToGrid w:val="0"/>
          <w:szCs w:val="32"/>
        </w:rPr>
        <w:t>，</w:t>
      </w:r>
      <w:r>
        <w:rPr>
          <w:rFonts w:hint="eastAsia"/>
          <w:bCs/>
        </w:rPr>
        <w:t>解决东丽城市管理方式传统、效率低下的问题</w:t>
      </w:r>
      <w:r>
        <w:rPr>
          <w:rFonts w:hint="eastAsia" w:ascii="仿宋_GB2312"/>
        </w:rPr>
        <w:t>。加快智慧党建统领智慧社会信息平台建设，</w:t>
      </w:r>
      <w:r>
        <w:rPr>
          <w:rFonts w:hint="eastAsia" w:cs="Times New Roman"/>
          <w:szCs w:val="32"/>
        </w:rPr>
        <w:t>接入城管、综治、环保、应急、公安、气象等相关业务系统，实现城市管理“一网进”。</w:t>
      </w:r>
      <w:r>
        <w:rPr>
          <w:rFonts w:hint="eastAsia" w:ascii="仿宋_GB2312"/>
        </w:rPr>
        <w:t>加快建设“城市大脑”，</w:t>
      </w:r>
      <w:r>
        <w:rPr>
          <w:rFonts w:hint="eastAsia" w:cs="Times New Roman"/>
          <w:szCs w:val="32"/>
        </w:rPr>
        <w:t>打通全区数据信息链路，建设城市基础信息资源库，实现全区数据资源的统一存储和管理，拓展数据应用、提升数据价值，辅助政府科学决策</w:t>
      </w:r>
      <w:r>
        <w:rPr>
          <w:rFonts w:hint="eastAsia" w:ascii="仿宋_GB2312"/>
        </w:rPr>
        <w:t>。推进重点领域管理手段智能化，应用大数据分析和监测预警技术，开展任务生成、指令派发、承接处置和评估考核工作，解决市容市貌、交通秩序、社区物业等重点领域管理难点堵点。到</w:t>
      </w:r>
      <w:r>
        <w:t>2025</w:t>
      </w:r>
      <w:r>
        <w:rPr>
          <w:rFonts w:hint="eastAsia" w:ascii="仿宋_GB2312"/>
        </w:rPr>
        <w:t>年，建成“智慧、融合、惠民、安全”的城市管理数字系统，实现城市管理智能化水平全面提升。</w:t>
      </w:r>
    </w:p>
    <w:p>
      <w:pPr>
        <w:ind w:firstLine="643"/>
        <w:rPr>
          <w:rFonts w:ascii="仿宋_GB2312"/>
        </w:rPr>
      </w:pPr>
      <w:bookmarkStart w:id="68" w:name="_Hlk46157910"/>
      <w:r>
        <w:rPr>
          <w:rFonts w:hint="eastAsia"/>
          <w:b/>
          <w:bCs/>
          <w:kern w:val="0"/>
          <w:szCs w:val="32"/>
        </w:rPr>
        <w:t>促进多元共治推进城市管理社会化</w:t>
      </w:r>
      <w:bookmarkEnd w:id="68"/>
      <w:r>
        <w:rPr>
          <w:rFonts w:hint="eastAsia"/>
          <w:b/>
          <w:bCs/>
          <w:kern w:val="0"/>
          <w:szCs w:val="32"/>
        </w:rPr>
        <w:t>。</w:t>
      </w:r>
      <w:r>
        <w:rPr>
          <w:rFonts w:hint="eastAsia"/>
          <w:kern w:val="0"/>
          <w:szCs w:val="32"/>
        </w:rPr>
        <w:t>落实城市经营理念，深化城市管理社会化改革，引入多元主体参与城市管理和服务，缓解地方政府债务和财政压力。</w:t>
      </w:r>
      <w:bookmarkStart w:id="69" w:name="_Hlk46157939"/>
      <w:r>
        <w:rPr>
          <w:rFonts w:hint="eastAsia" w:ascii="仿宋_GB2312"/>
        </w:rPr>
        <w:t>大力吸引社会资本参与城市建设管理，</w:t>
      </w:r>
      <w:bookmarkStart w:id="70" w:name="_Hlk46157924"/>
      <w:r>
        <w:rPr>
          <w:rFonts w:hint="eastAsia" w:ascii="仿宋_GB2312"/>
        </w:rPr>
        <w:t>全面推进市政基础设施、市政公用事业和便民服务设施市场化运营</w:t>
      </w:r>
      <w:bookmarkEnd w:id="70"/>
      <w:r>
        <w:rPr>
          <w:rFonts w:hint="eastAsia" w:ascii="仿宋_GB2312"/>
        </w:rPr>
        <w:t>。聚焦环卫保洁、园林绿化管养作业等领域，加大政府向社会购买服务力度，健全市场化机构监督机制和运营绩效评价体系。</w:t>
      </w:r>
      <w:bookmarkEnd w:id="69"/>
      <w:r>
        <w:rPr>
          <w:rFonts w:hint="eastAsia" w:ascii="仿宋_GB2312"/>
        </w:rPr>
        <w:t>引导社会组织、市场中介机构和公民法人参与城市治理，畅通公众参与城市治理渠道，倡导城市管理志愿服务。到</w:t>
      </w:r>
      <w:r>
        <w:t>2025</w:t>
      </w:r>
      <w:r>
        <w:rPr>
          <w:rFonts w:hint="eastAsia" w:ascii="仿宋_GB2312"/>
        </w:rPr>
        <w:t>年，形成多元共治、良性互动的城市管理模式，市政基础设施、市政公用事业和便民服务设施等领域市场化率达到全国领先水平。</w:t>
      </w:r>
    </w:p>
    <w:p>
      <w:pPr>
        <w:ind w:firstLine="643"/>
        <w:rPr>
          <w:rFonts w:ascii="仿宋_GB2312"/>
        </w:rPr>
      </w:pPr>
      <w:r>
        <w:rPr>
          <w:rFonts w:hint="eastAsia"/>
          <w:b/>
          <w:bCs/>
        </w:rPr>
        <w:t>开展专项整治推进城市管理精细化。</w:t>
      </w:r>
      <w:r>
        <w:rPr>
          <w:rFonts w:hint="eastAsia" w:ascii="仿宋_GB2312"/>
        </w:rPr>
        <w:t>坚持问题导向、强化上下联动，制定并细化市容市貌、交通秩序、社区物业等方面管理意见，抓实抓细城市管理。开展市容市貌整治，提升改造“两纵三横”核心干道街景立面等重点区域，推动边角地块环境品质提升。实施城市彩化工程，提升改造“一纵六横”道路街景绿地，加大彩叶植物种植和花卉妆点力度，启动国家园林城区创建工作。开展建筑工地整治，建立责任清单和问题清单，全面整改工地围挡、黄土裸露、施工噪音等重点问题。开展交通秩序整治，规划道路循环系统提升交通组织水平，通过改扩建和立体化改造加大停车位供给，创新机制规范停车秩序。加强社区物业管理，以军粮城、华明和新立新市镇为试点，引入精品物业企业建立统一物业管理模式，成立国有物业公司加强老旧小区、未封闭社区管理。加强土地资源管理，落实土地动态巡查责任制，密切关注闲置土地和闲置厂房，及时发现和查处各类违法用地行为。</w:t>
      </w:r>
    </w:p>
    <w:p>
      <w:pPr>
        <w:pStyle w:val="3"/>
      </w:pPr>
      <w:bookmarkStart w:id="71" w:name="_Toc48224397"/>
      <w:r>
        <w:rPr>
          <w:rFonts w:hint="eastAsia"/>
        </w:rPr>
        <w:t>四、以人为核心提升全域城市化品质</w:t>
      </w:r>
      <w:bookmarkEnd w:id="71"/>
    </w:p>
    <w:p>
      <w:pPr>
        <w:ind w:firstLine="640"/>
        <w:rPr>
          <w:bCs/>
        </w:rPr>
      </w:pPr>
      <w:r>
        <w:rPr>
          <w:rFonts w:hint="eastAsia"/>
          <w:bCs/>
        </w:rPr>
        <w:t>立足东丽区全域城市化基础，以夯实安居工程基础，加快宜居东丽、乐居东丽建设为目标，</w:t>
      </w:r>
      <w:r>
        <w:rPr>
          <w:bCs/>
        </w:rPr>
        <w:t>全面推进人口市民化进程，解决东丽城市化遗留问题，促进还迁新市民融入</w:t>
      </w:r>
      <w:r>
        <w:rPr>
          <w:rFonts w:hint="eastAsia"/>
          <w:bCs/>
        </w:rPr>
        <w:t>新社区，打造城市文化新名片，加强城市凝聚力。</w:t>
      </w:r>
    </w:p>
    <w:p>
      <w:pPr>
        <w:ind w:firstLine="643"/>
      </w:pPr>
      <w:r>
        <w:rPr>
          <w:rFonts w:hint="eastAsia"/>
          <w:b/>
          <w:bCs/>
        </w:rPr>
        <w:t>巩固提升全域城市化建设成果。</w:t>
      </w:r>
      <w:r>
        <w:rPr>
          <w:rFonts w:hint="eastAsia"/>
          <w:bCs/>
        </w:rPr>
        <w:t>坚持规划引领、统筹推进，</w:t>
      </w:r>
      <w:r>
        <w:rPr>
          <w:rFonts w:hint="eastAsia"/>
        </w:rPr>
        <w:t>全面建设安居东丽，为宜居东丽和乐居东丽建设打好基础。做好全域城市化安居工程“收口”工作，针对还迁工程体量大、周期长、收口难等问题，科学排定还迁时间表、任务图，高标准完成全域还迁房及配套公建项目建设。推进还迁社区改造，完善“水电路气网”等</w:t>
      </w:r>
      <w:r>
        <w:rPr>
          <w:rFonts w:hint="eastAsia"/>
          <w:szCs w:val="32"/>
        </w:rPr>
        <w:t>配套设施，提升社区服务设施、安全设施和外部环境功能</w:t>
      </w:r>
      <w:r>
        <w:rPr>
          <w:rFonts w:hint="eastAsia"/>
        </w:rPr>
        <w:t>。优化商品房、保障房、还迁房、公租房等多元住房供应结构，推进多主体供给、多渠道保障、租购并举的住房供应和保障体系建设。到</w:t>
      </w:r>
      <w:r>
        <w:t>2021</w:t>
      </w:r>
      <w:r>
        <w:rPr>
          <w:rFonts w:hint="eastAsia"/>
        </w:rPr>
        <w:t>年底，完成</w:t>
      </w:r>
      <w:r>
        <w:t>29</w:t>
      </w:r>
      <w:r>
        <w:rPr>
          <w:rFonts w:hint="eastAsia"/>
        </w:rPr>
        <w:t>万居民还迁安置</w:t>
      </w:r>
      <w:r>
        <w:rPr>
          <w:rFonts w:hint="eastAsia"/>
          <w:szCs w:val="32"/>
        </w:rPr>
        <w:t>，到</w:t>
      </w:r>
      <w:r>
        <w:rPr>
          <w:szCs w:val="32"/>
        </w:rPr>
        <w:t>2025</w:t>
      </w:r>
      <w:r>
        <w:rPr>
          <w:rFonts w:hint="eastAsia"/>
          <w:szCs w:val="32"/>
        </w:rPr>
        <w:t>年</w:t>
      </w:r>
      <w:r>
        <w:rPr>
          <w:rFonts w:hint="eastAsia"/>
        </w:rPr>
        <w:t>，</w:t>
      </w:r>
      <w:r>
        <w:rPr>
          <w:rFonts w:hint="eastAsia"/>
          <w:szCs w:val="32"/>
        </w:rPr>
        <w:t>形成完善的住房供应和保障体系，</w:t>
      </w:r>
      <w:r>
        <w:rPr>
          <w:rFonts w:hint="eastAsia"/>
        </w:rPr>
        <w:t>满足居民多元化住房需求。</w:t>
      </w:r>
    </w:p>
    <w:p>
      <w:pPr>
        <w:ind w:firstLine="643"/>
      </w:pPr>
      <w:r>
        <w:rPr>
          <w:rFonts w:hint="eastAsia"/>
          <w:b/>
        </w:rPr>
        <w:t>促进城市化与乡村振兴同步发展。</w:t>
      </w:r>
      <w:r>
        <w:rPr>
          <w:rFonts w:hint="eastAsia"/>
        </w:rPr>
        <w:t>全面落实乡村振兴战略要求，针对全域城市化遗留农业生产、组织等方面衰退问题，提升农业生产、经营、组织水平，构建全产业链农业可持续运营体系。构建现代农业生产体系，推进农业基础装备信息化、技术操作自动化、经营管理网络化等重点工程建设，打造胡张庄、滨丽、傲绿、大顺等设施农业示范基地，以示范基地为引领推动全区设施农业、智慧农业等现代化农业生产体系发展。打造东丽农业品牌，依托欢坨西红柿等优质农产品及宽达水产、春发集团等精深加工企业，开发东丽特色农业产品、打造东丽农业产品品牌，以品牌为基础打通一、二、三产业，实现可持续的品牌运营模式。推进新型农业组织发展，引导原有村队集体组织与农业龙头企业合作，建设农业产业化联合体，推动订单农业和“公司+农户”等经营模式创新，引领农业产业链转型升级。</w:t>
      </w:r>
    </w:p>
    <w:p>
      <w:pPr>
        <w:ind w:firstLine="643"/>
      </w:pPr>
      <w:bookmarkStart w:id="72" w:name="_Hlk46090661"/>
      <w:r>
        <w:rPr>
          <w:rFonts w:hint="eastAsia"/>
          <w:b/>
          <w:bCs/>
        </w:rPr>
        <w:t>深入推进人口市民化。</w:t>
      </w:r>
      <w:r>
        <w:rPr>
          <w:rFonts w:hint="eastAsia"/>
        </w:rPr>
        <w:t>以人为核心提升全域城市化品质，加快推进还迁居民从农民到市民的角色转变，切实解决“社区之表、农村之实”问题。推进基本公共服务全面覆盖，以全市统一标准统筹全域教育、医疗、就业等领域基本公共服务资源配置，</w:t>
      </w:r>
      <w:r>
        <w:rPr>
          <w:rFonts w:hint="eastAsia"/>
          <w:szCs w:val="32"/>
        </w:rPr>
        <w:t>落实被征地人员养老保障</w:t>
      </w:r>
      <w:r>
        <w:rPr>
          <w:rFonts w:hint="eastAsia"/>
        </w:rPr>
        <w:t>。扩大面向新市民的就业供给，重点开发都市农业、社区服务、加工制造等领域就业岗位，加强就业培训提升新市民职业技能水平，推进新市民就近就业、融入社区。鼓励还迁居民等新市民自主创业，落实就业创业培训、创业担保贷款、创业补贴、税费减免等优惠扶持政策强化创业培训和创业扶持力度。到</w:t>
      </w:r>
      <w:r>
        <w:t>2025</w:t>
      </w:r>
      <w:r>
        <w:rPr>
          <w:rFonts w:hint="eastAsia"/>
        </w:rPr>
        <w:t>年，形成全面覆盖新市民的公共服务、就业支持和文化提升体系。</w:t>
      </w:r>
    </w:p>
    <w:p>
      <w:pPr>
        <w:ind w:firstLine="643"/>
        <w:rPr>
          <w:rFonts w:ascii="仿宋_GB2312" w:hAnsi="宋体" w:cs="宋体"/>
        </w:rPr>
      </w:pPr>
      <w:r>
        <w:rPr>
          <w:rFonts w:hint="eastAsia" w:ascii="仿宋_GB2312" w:hAnsi="宋体" w:cs="宋体"/>
          <w:b/>
          <w:bCs/>
        </w:rPr>
        <w:t>深挖城市底蕴加强城市文化建设。</w:t>
      </w:r>
      <w:bookmarkEnd w:id="72"/>
      <w:bookmarkStart w:id="73" w:name="_Hlk46090675"/>
      <w:r>
        <w:rPr>
          <w:rFonts w:hint="eastAsia"/>
        </w:rPr>
        <w:t>以丰富城市文化内涵、增强城市凝聚力为导向，依托</w:t>
      </w:r>
      <w:r>
        <w:rPr>
          <w:rFonts w:hint="eastAsia" w:ascii="仿宋_GB2312" w:hAnsi="宋体" w:cs="宋体"/>
        </w:rPr>
        <w:t>东丽人文底蕴塑造“实干、守信、包容”城市文化，切实加强新时代精神文明建设</w:t>
      </w:r>
      <w:bookmarkEnd w:id="73"/>
      <w:r>
        <w:rPr>
          <w:rFonts w:hint="eastAsia" w:ascii="仿宋_GB2312" w:hAnsi="宋体" w:cs="宋体"/>
          <w:b/>
          <w:bCs/>
        </w:rPr>
        <w:t>。</w:t>
      </w:r>
      <w:r>
        <w:rPr>
          <w:rFonts w:hint="eastAsia" w:ascii="仿宋_GB2312" w:hAnsi="宋体" w:cs="宋体"/>
        </w:rPr>
        <w:t>营造崇尚实干激励担当的干事创业氛围，坚持务实求真，重点培养和激励敢担当、善突破、能成事的优秀人才，激发青年干事创业热情。加强诚信教育和守信文化建设，大力倡导诚信道德规范，弘扬契约精神，在全社会形成以诚实守信为荣、以见利忘义为耻的良好风向。倡导开放包容的城市精神，坚持多元文化融合，推进城市和乡村、原住民与外来人口文化互动，鼓励创新、宽容失败，把社会的多样性、差异性转化为城市发展活力和动力。</w:t>
      </w:r>
    </w:p>
    <w:p>
      <w:pPr>
        <w:widowControl/>
        <w:spacing w:line="240" w:lineRule="auto"/>
        <w:ind w:firstLine="0" w:firstLineChars="0"/>
        <w:jc w:val="left"/>
        <w:rPr>
          <w:rFonts w:ascii="仿宋_GB2312" w:hAnsi="宋体" w:cs="宋体"/>
        </w:rPr>
      </w:pPr>
      <w:r>
        <w:rPr>
          <w:rFonts w:ascii="仿宋_GB2312" w:hAnsi="宋体" w:cs="宋体"/>
        </w:rPr>
        <w:br w:type="page"/>
      </w:r>
    </w:p>
    <w:p>
      <w:pPr>
        <w:keepNext/>
        <w:keepLines/>
        <w:adjustRightInd w:val="0"/>
        <w:ind w:firstLine="0" w:firstLineChars="0"/>
        <w:jc w:val="center"/>
        <w:textAlignment w:val="baseline"/>
        <w:outlineLvl w:val="0"/>
        <w:rPr>
          <w:rFonts w:ascii="方正小标宋简体" w:hAnsi="黑体" w:eastAsia="方正小标宋简体" w:cs="Times New Roman"/>
          <w:b/>
          <w:bCs/>
          <w:spacing w:val="-4"/>
          <w:kern w:val="44"/>
          <w:sz w:val="36"/>
          <w:szCs w:val="36"/>
        </w:rPr>
      </w:pPr>
      <w:bookmarkStart w:id="74" w:name="_Toc37662901"/>
      <w:bookmarkStart w:id="75" w:name="_Toc48224398"/>
      <w:r>
        <w:rPr>
          <w:rFonts w:hint="eastAsia" w:ascii="黑体" w:hAnsi="黑体" w:eastAsia="黑体" w:cs="Times New Roman"/>
          <w:b/>
          <w:spacing w:val="-4"/>
          <w:kern w:val="44"/>
          <w:sz w:val="36"/>
          <w:szCs w:val="36"/>
        </w:rPr>
        <w:t>第六章</w:t>
      </w:r>
      <w:r>
        <w:rPr>
          <w:rFonts w:ascii="黑体" w:hAnsi="黑体" w:eastAsia="黑体" w:cs="Times New Roman"/>
          <w:b/>
          <w:spacing w:val="-4"/>
          <w:kern w:val="44"/>
          <w:sz w:val="36"/>
          <w:szCs w:val="36"/>
        </w:rPr>
        <w:t xml:space="preserve"> </w:t>
      </w:r>
      <w:r>
        <w:rPr>
          <w:rFonts w:hint="eastAsia" w:ascii="黑体" w:hAnsi="黑体" w:eastAsia="黑体" w:cs="Times New Roman"/>
          <w:b/>
          <w:spacing w:val="-4"/>
          <w:kern w:val="44"/>
          <w:sz w:val="36"/>
          <w:szCs w:val="36"/>
        </w:rPr>
        <w:t>以人为本，增进百姓民生福祉</w:t>
      </w:r>
      <w:bookmarkEnd w:id="74"/>
      <w:bookmarkEnd w:id="75"/>
    </w:p>
    <w:p>
      <w:pPr>
        <w:ind w:left="160" w:leftChars="50" w:firstLine="640"/>
        <w:rPr>
          <w:rFonts w:ascii="仿宋_GB2312" w:hAnsi="宋体" w:cs="宋体"/>
          <w:bCs/>
          <w:spacing w:val="-4"/>
          <w:kern w:val="0"/>
        </w:rPr>
      </w:pPr>
      <w:r>
        <w:rPr>
          <w:rFonts w:hint="eastAsia"/>
        </w:rPr>
        <w:t>紧密围绕全面融入主城区战略要求和智慧都市新区定位，</w:t>
      </w:r>
      <w:r>
        <w:rPr>
          <w:rFonts w:hint="eastAsia" w:ascii="仿宋_GB2312" w:hAnsi="宋体" w:cs="宋体"/>
          <w:bCs/>
          <w:spacing w:val="-4"/>
          <w:kern w:val="0"/>
        </w:rPr>
        <w:t>坚持以人为本、民生至上，补齐基本公共服务短板，扩大优质公共服务供给，提升高端公共服务品质，实现民生导向型公共服务均等化和发展导向型公共服务品质化，健全夯实我区</w:t>
      </w:r>
      <w:r>
        <w:rPr>
          <w:rFonts w:hint="eastAsia"/>
        </w:rPr>
        <w:t>“三宜环境”建设基础的基本公共服务体系，</w:t>
      </w:r>
      <w:r>
        <w:rPr>
          <w:rFonts w:hint="eastAsia" w:ascii="仿宋_GB2312" w:hAnsi="宋体" w:cs="宋体"/>
          <w:bCs/>
          <w:spacing w:val="-4"/>
          <w:kern w:val="0"/>
        </w:rPr>
        <w:t>打造更高质量的民生幸福家园。</w:t>
      </w:r>
    </w:p>
    <w:p>
      <w:pPr>
        <w:keepNext/>
        <w:keepLines/>
        <w:ind w:firstLine="643"/>
        <w:outlineLvl w:val="1"/>
        <w:rPr>
          <w:rFonts w:ascii="楷体" w:hAnsi="楷体" w:eastAsia="楷体" w:cs="Times New Roman"/>
          <w:b/>
          <w:bCs/>
          <w:szCs w:val="32"/>
        </w:rPr>
      </w:pPr>
      <w:bookmarkStart w:id="76" w:name="_Toc48224399"/>
      <w:r>
        <w:rPr>
          <w:rFonts w:hint="eastAsia" w:ascii="楷体" w:hAnsi="楷体" w:eastAsia="楷体" w:cs="Times New Roman"/>
          <w:b/>
          <w:bCs/>
          <w:szCs w:val="32"/>
        </w:rPr>
        <w:t>一、坚持优质均衡推进教育现代化</w:t>
      </w:r>
      <w:bookmarkEnd w:id="76"/>
    </w:p>
    <w:p>
      <w:pPr>
        <w:ind w:firstLine="640"/>
        <w:rPr>
          <w:rFonts w:ascii="仿宋_GB2312" w:hAnsi="宋体" w:cs="宋体"/>
        </w:rPr>
      </w:pPr>
      <w:r>
        <w:rPr>
          <w:rFonts w:hint="eastAsia" w:ascii="仿宋_GB2312" w:hAnsi="宋体" w:cs="宋体"/>
        </w:rPr>
        <w:t>以促进教育公平和提高教育质量为时代主题，围绕实现更高水平教育现代化这一主线，聚焦东丽教育发展的战略性问题、紧迫性问题和人民群众关心的问题，开展立德树人体系建设、教育资源供给优化、教育信息化建设、教师队伍素质提升等重点行动，统筹</w:t>
      </w:r>
      <w:r>
        <w:rPr>
          <w:rFonts w:ascii="仿宋_GB2312" w:hAnsi="宋体" w:cs="宋体"/>
        </w:rPr>
        <w:t>优化区域教育资源，</w:t>
      </w:r>
      <w:r>
        <w:rPr>
          <w:rFonts w:hint="eastAsia" w:ascii="仿宋_GB2312" w:hAnsi="宋体" w:cs="宋体"/>
        </w:rPr>
        <w:t>不断完善教育体系，加强教师队伍建设，实现东丽绿色教育优质发展。</w:t>
      </w:r>
    </w:p>
    <w:p>
      <w:pPr>
        <w:ind w:firstLine="643"/>
        <w:rPr>
          <w:rFonts w:ascii="仿宋_GB2312" w:hAnsi="宋体" w:cs="宋体"/>
        </w:rPr>
      </w:pPr>
      <w:r>
        <w:rPr>
          <w:rFonts w:hint="eastAsia" w:ascii="仿宋_GB2312" w:hAnsi="宋体" w:cs="宋体"/>
          <w:b/>
        </w:rPr>
        <w:t>构建德智体美劳全面培养的教育体系</w:t>
      </w:r>
      <w:r>
        <w:rPr>
          <w:rFonts w:hint="eastAsia" w:ascii="仿宋_GB2312" w:hAnsi="宋体" w:cs="宋体"/>
        </w:rPr>
        <w:t>。树立“能力为先”的人才培养理念，落实立德树人根本任务，培养中国特色社会主义事业的建设者和接班人。推进中小幼一体化德育体系建设，引导中小学生树立正确的世界观、人生观、价值观。创新劳动和实践育人模式，深化中小学“实践课堂”建设，逐步形成家庭、学校、社会结合的劳动实践课程体系。加强学校体育美育，实施学生体育、</w:t>
      </w:r>
      <w:r>
        <w:rPr>
          <w:rFonts w:ascii="仿宋_GB2312" w:hAnsi="宋体" w:cs="宋体"/>
        </w:rPr>
        <w:t>美育质量提升工程</w:t>
      </w:r>
      <w:r>
        <w:rPr>
          <w:rFonts w:hint="eastAsia" w:ascii="仿宋_GB2312" w:hAnsi="宋体" w:cs="宋体"/>
        </w:rPr>
        <w:t>，</w:t>
      </w:r>
      <w:r>
        <w:rPr>
          <w:rFonts w:hint="eastAsia"/>
          <w:szCs w:val="32"/>
        </w:rPr>
        <w:t>探索课堂教学、校园文化和课外活动“三位一体”的体育美育教育模式</w:t>
      </w:r>
      <w:r>
        <w:rPr>
          <w:rFonts w:ascii="仿宋_GB2312" w:hAnsi="宋体" w:cs="宋体"/>
        </w:rPr>
        <w:t>。</w:t>
      </w:r>
      <w:r>
        <w:rPr>
          <w:rFonts w:hint="eastAsia" w:ascii="仿宋_GB2312" w:hAnsi="宋体" w:cs="宋体"/>
        </w:rPr>
        <w:t>引入社会托管机构，根据学生需求和特点提供多样化、个性化课后延时服务，打造素质教育第二课堂。</w:t>
      </w:r>
      <w:r>
        <w:rPr>
          <w:rFonts w:ascii="仿宋_GB2312" w:hAnsi="宋体" w:cs="宋体"/>
        </w:rPr>
        <w:t>到</w:t>
      </w:r>
      <w:r>
        <w:rPr>
          <w:rFonts w:cs="宋体"/>
        </w:rPr>
        <w:t>2025</w:t>
      </w:r>
      <w:r>
        <w:rPr>
          <w:rFonts w:ascii="仿宋_GB2312" w:hAnsi="宋体" w:cs="宋体"/>
        </w:rPr>
        <w:t>年，初步构建促进中小学生德、智、体、美、劳全面发展的素质教育体系。</w:t>
      </w:r>
    </w:p>
    <w:p>
      <w:pPr>
        <w:ind w:firstLine="643"/>
        <w:rPr>
          <w:rFonts w:ascii="仿宋_GB2312" w:hAnsi="宋体" w:cs="宋体"/>
        </w:rPr>
      </w:pPr>
      <w:r>
        <w:rPr>
          <w:rFonts w:hint="eastAsia" w:ascii="仿宋_GB2312" w:hAnsi="宋体" w:cs="宋体"/>
          <w:b/>
        </w:rPr>
        <w:t>构建优质均衡、多元开放的教育体系。</w:t>
      </w:r>
      <w:r>
        <w:rPr>
          <w:rFonts w:hint="eastAsia" w:ascii="仿宋_GB2312" w:hAnsi="宋体" w:cs="宋体"/>
          <w:bCs/>
        </w:rPr>
        <w:t>以推进基本公共教育服务均等化为导向，优化学校设点布局，落实教育配套设施，补齐优质教育资源供给不足的短板。</w:t>
      </w:r>
      <w:r>
        <w:rPr>
          <w:rFonts w:hint="eastAsia" w:ascii="仿宋_GB2312" w:hAnsi="宋体" w:cs="宋体"/>
        </w:rPr>
        <w:t>引导学前教育普惠提质</w:t>
      </w:r>
      <w:r>
        <w:rPr>
          <w:rFonts w:ascii="仿宋_GB2312" w:hAnsi="宋体" w:cs="宋体"/>
        </w:rPr>
        <w:t>，</w:t>
      </w:r>
      <w:r>
        <w:rPr>
          <w:rFonts w:hint="eastAsia" w:ascii="仿宋_GB2312" w:hAnsi="宋体" w:cs="宋体"/>
        </w:rPr>
        <w:t>科学规划幼儿园位置、规模和服务范围，</w:t>
      </w:r>
      <w:r>
        <w:rPr>
          <w:rFonts w:ascii="仿宋_GB2312" w:hAnsi="宋体" w:cs="宋体"/>
        </w:rPr>
        <w:t>通过</w:t>
      </w:r>
      <w:r>
        <w:rPr>
          <w:rFonts w:hint="eastAsia" w:ascii="仿宋_GB2312" w:hAnsi="宋体" w:cs="宋体"/>
        </w:rPr>
        <w:t>新建、扩建加大学前教育资源建设</w:t>
      </w:r>
      <w:r>
        <w:rPr>
          <w:rFonts w:ascii="仿宋_GB2312" w:hAnsi="宋体" w:cs="宋体"/>
        </w:rPr>
        <w:t>，</w:t>
      </w:r>
      <w:r>
        <w:rPr>
          <w:rFonts w:hint="eastAsia" w:ascii="仿宋_GB2312" w:hAnsi="宋体" w:cs="宋体"/>
        </w:rPr>
        <w:t>规范小区配套幼儿园建设使用</w:t>
      </w:r>
      <w:r>
        <w:rPr>
          <w:rFonts w:ascii="仿宋_GB2312" w:hAnsi="宋体" w:cs="宋体"/>
        </w:rPr>
        <w:t>。</w:t>
      </w:r>
      <w:r>
        <w:rPr>
          <w:rFonts w:hint="eastAsia" w:ascii="仿宋_GB2312" w:hAnsi="宋体" w:cs="宋体"/>
        </w:rPr>
        <w:t>推进新一轮</w:t>
      </w:r>
      <w:r>
        <w:rPr>
          <w:rFonts w:ascii="仿宋_GB2312" w:hAnsi="宋体" w:cs="宋体"/>
        </w:rPr>
        <w:t>义务教育</w:t>
      </w:r>
      <w:r>
        <w:rPr>
          <w:rFonts w:hint="eastAsia" w:ascii="仿宋_GB2312" w:hAnsi="宋体" w:cs="宋体"/>
        </w:rPr>
        <w:t>学校现代化建设</w:t>
      </w:r>
      <w:r>
        <w:rPr>
          <w:rFonts w:ascii="仿宋_GB2312" w:hAnsi="宋体" w:cs="宋体"/>
        </w:rPr>
        <w:t>，</w:t>
      </w:r>
      <w:r>
        <w:rPr>
          <w:rFonts w:hint="eastAsia"/>
          <w:szCs w:val="32"/>
        </w:rPr>
        <w:t>完善东丽湖、金钟街、华新街等地区义务教育资源布局，</w:t>
      </w:r>
      <w:r>
        <w:rPr>
          <w:rFonts w:ascii="仿宋_GB2312" w:hAnsi="宋体" w:cs="宋体"/>
        </w:rPr>
        <w:t>采取名师名校长带动、集团化办学、共同体合作等方式促进优质资源共享</w:t>
      </w:r>
      <w:r>
        <w:rPr>
          <w:rFonts w:hint="eastAsia" w:ascii="仿宋_GB2312" w:hAnsi="宋体" w:cs="宋体"/>
        </w:rPr>
        <w:t>。建设优质品牌高中，加快第一百中学、军粮城中学等特色高中建设，深化高中课程和教学组织方式改革。推进职业教育产教融合，</w:t>
      </w:r>
      <w:r>
        <w:rPr>
          <w:rFonts w:hint="eastAsia"/>
          <w:szCs w:val="32"/>
        </w:rPr>
        <w:t>促进产业、行业、企业、职业、专业“五业联动”</w:t>
      </w:r>
      <w:r>
        <w:rPr>
          <w:rFonts w:hint="eastAsia" w:ascii="仿宋_GB2312" w:hAnsi="宋体" w:cs="宋体"/>
        </w:rPr>
        <w:t>，把东丽区职业教育中心学校建设成为国内领先的中等职业学校。完善区域教育监督治理体系，推进公办学校民办托管，建立教师、学生、家长和第三方专业机构多方参与的教育督导评价机制。到</w:t>
      </w:r>
      <w:r>
        <w:rPr>
          <w:rFonts w:cs="宋体"/>
        </w:rPr>
        <w:t>2025</w:t>
      </w:r>
      <w:r>
        <w:rPr>
          <w:rFonts w:hint="eastAsia" w:ascii="仿宋_GB2312" w:hAnsi="宋体" w:cs="宋体"/>
        </w:rPr>
        <w:t>年，普惠性幼儿园覆盖率超过</w:t>
      </w:r>
      <w:r>
        <w:rPr>
          <w:rFonts w:cs="宋体"/>
        </w:rPr>
        <w:t>85</w:t>
      </w:r>
      <w:r>
        <w:rPr>
          <w:rFonts w:ascii="仿宋_GB2312" w:hAnsi="宋体" w:cs="宋体"/>
        </w:rPr>
        <w:t>%，义务教育完成率保持</w:t>
      </w:r>
      <w:r>
        <w:rPr>
          <w:rFonts w:cs="宋体"/>
        </w:rPr>
        <w:t>100</w:t>
      </w:r>
      <w:r>
        <w:rPr>
          <w:rFonts w:ascii="仿宋_GB2312" w:hAnsi="宋体" w:cs="宋体"/>
        </w:rPr>
        <w:t>%，</w:t>
      </w:r>
      <w:r>
        <w:rPr>
          <w:rFonts w:hint="eastAsia"/>
          <w:szCs w:val="32"/>
        </w:rPr>
        <w:t>教育发展主要指标位居全市前列</w:t>
      </w:r>
      <w:r>
        <w:rPr>
          <w:rFonts w:ascii="仿宋_GB2312" w:hAnsi="宋体" w:cs="宋体"/>
        </w:rPr>
        <w:t>。</w:t>
      </w:r>
    </w:p>
    <w:p>
      <w:pPr>
        <w:ind w:firstLine="643"/>
        <w:rPr>
          <w:rFonts w:ascii="仿宋_GB2312" w:hAnsi="宋体" w:cs="宋体"/>
        </w:rPr>
      </w:pPr>
      <w:r>
        <w:rPr>
          <w:rFonts w:hint="eastAsia" w:ascii="仿宋_GB2312" w:hAnsi="宋体" w:cs="宋体"/>
          <w:b/>
        </w:rPr>
        <w:t>构建网络化、数字化、智能化的教育体系。</w:t>
      </w:r>
      <w:r>
        <w:rPr>
          <w:rFonts w:hint="eastAsia" w:ascii="仿宋_GB2312" w:hAnsi="宋体" w:cs="宋体"/>
        </w:rPr>
        <w:t>实施教育信息化</w:t>
      </w:r>
      <w:r>
        <w:rPr>
          <w:rFonts w:cs="宋体"/>
        </w:rPr>
        <w:t>2</w:t>
      </w:r>
      <w:r>
        <w:rPr>
          <w:rFonts w:ascii="仿宋_GB2312" w:hAnsi="宋体" w:cs="宋体"/>
        </w:rPr>
        <w:t>.</w:t>
      </w:r>
      <w:r>
        <w:rPr>
          <w:rFonts w:cs="宋体"/>
        </w:rPr>
        <w:t>0</w:t>
      </w:r>
      <w:r>
        <w:rPr>
          <w:rFonts w:ascii="仿宋_GB2312" w:hAnsi="宋体" w:cs="宋体"/>
        </w:rPr>
        <w:t>行动计划，</w:t>
      </w:r>
      <w:r>
        <w:rPr>
          <w:rFonts w:hint="eastAsia" w:ascii="仿宋_GB2312" w:hAnsi="宋体" w:cs="宋体"/>
        </w:rPr>
        <w:t>促进信息技术与教育教学融合应用，扩大优质教育资源受惠面。打造教育信息化升级版，构建“互联网</w:t>
      </w:r>
      <w:r>
        <w:rPr>
          <w:rFonts w:ascii="仿宋_GB2312" w:hAnsi="宋体" w:cs="宋体"/>
        </w:rPr>
        <w:t>+教育”新型教育云平台建设，</w:t>
      </w:r>
      <w:r>
        <w:rPr>
          <w:rFonts w:hint="eastAsia" w:ascii="仿宋_GB2312" w:hAnsi="宋体" w:cs="宋体"/>
        </w:rPr>
        <w:t>支撑学校和师生开展信息化教学应用，</w:t>
      </w:r>
      <w:r>
        <w:rPr>
          <w:rFonts w:ascii="仿宋_GB2312" w:hAnsi="宋体" w:cs="宋体"/>
        </w:rPr>
        <w:t>推进</w:t>
      </w:r>
      <w:r>
        <w:rPr>
          <w:rFonts w:hint="eastAsia"/>
          <w:szCs w:val="32"/>
        </w:rPr>
        <w:t>优质教育资源的共建共享</w:t>
      </w:r>
      <w:r>
        <w:rPr>
          <w:rFonts w:ascii="仿宋_GB2312" w:hAnsi="宋体" w:cs="宋体"/>
        </w:rPr>
        <w:t>。推进</w:t>
      </w:r>
      <w:r>
        <w:rPr>
          <w:rFonts w:hint="eastAsia" w:ascii="仿宋_GB2312" w:hAnsi="宋体" w:cs="宋体"/>
        </w:rPr>
        <w:t>数字</w:t>
      </w:r>
      <w:r>
        <w:rPr>
          <w:rFonts w:ascii="仿宋_GB2312" w:hAnsi="宋体" w:cs="宋体"/>
        </w:rPr>
        <w:t>校园建设，</w:t>
      </w:r>
      <w:r>
        <w:rPr>
          <w:rFonts w:hint="eastAsia" w:ascii="仿宋_GB2312" w:hAnsi="宋体" w:cs="宋体"/>
        </w:rPr>
        <w:t>积极</w:t>
      </w:r>
      <w:r>
        <w:rPr>
          <w:rFonts w:hint="eastAsia"/>
          <w:szCs w:val="32"/>
        </w:rPr>
        <w:t>开展基于网络学习空间的特色教育教学活动，</w:t>
      </w:r>
      <w:r>
        <w:rPr>
          <w:rFonts w:hint="eastAsia" w:ascii="仿宋_GB2312" w:hAnsi="宋体" w:cs="宋体"/>
        </w:rPr>
        <w:t>基于教育大数据挖掘与学习分析，创新教育</w:t>
      </w:r>
      <w:r>
        <w:rPr>
          <w:rFonts w:ascii="仿宋_GB2312" w:hAnsi="宋体" w:cs="宋体"/>
        </w:rPr>
        <w:t>教学</w:t>
      </w:r>
      <w:r>
        <w:rPr>
          <w:rFonts w:hint="eastAsia" w:ascii="仿宋_GB2312" w:hAnsi="宋体" w:cs="宋体"/>
        </w:rPr>
        <w:t>和管理</w:t>
      </w:r>
      <w:r>
        <w:rPr>
          <w:rFonts w:ascii="仿宋_GB2312" w:hAnsi="宋体" w:cs="宋体"/>
        </w:rPr>
        <w:t>模式。提升教育管理信息化水平，</w:t>
      </w:r>
      <w:r>
        <w:rPr>
          <w:rFonts w:hint="eastAsia" w:ascii="仿宋_GB2312" w:hAnsi="宋体" w:cs="宋体"/>
        </w:rPr>
        <w:t>鼓励各级各类学校建立支持教学管理决策的数据系统，</w:t>
      </w:r>
      <w:r>
        <w:rPr>
          <w:rFonts w:ascii="仿宋_GB2312" w:hAnsi="宋体" w:cs="宋体"/>
        </w:rPr>
        <w:t>推动教育政务信息整合和数据共享，加强信息化终端设备和数字化教学资源监管。</w:t>
      </w:r>
      <w:r>
        <w:rPr>
          <w:rFonts w:hint="eastAsia" w:ascii="仿宋_GB2312" w:hAnsi="宋体" w:cs="宋体"/>
        </w:rPr>
        <w:t>到</w:t>
      </w:r>
      <w:r>
        <w:rPr>
          <w:rFonts w:cs="宋体"/>
        </w:rPr>
        <w:t>2025</w:t>
      </w:r>
      <w:r>
        <w:rPr>
          <w:rFonts w:hint="eastAsia" w:ascii="仿宋_GB2312" w:hAnsi="宋体" w:cs="宋体"/>
        </w:rPr>
        <w:t>年，实现教学应用覆盖全体教师，学习应用覆盖全体适龄学生，数字校园建设覆盖全体学校，信息化应用水平和师生信息素养普遍提高，建成“互联网</w:t>
      </w:r>
      <w:r>
        <w:rPr>
          <w:rFonts w:ascii="仿宋_GB2312" w:hAnsi="宋体" w:cs="宋体"/>
        </w:rPr>
        <w:t>+教育”大平台。</w:t>
      </w:r>
    </w:p>
    <w:p>
      <w:pPr>
        <w:ind w:firstLine="643"/>
        <w:rPr>
          <w:rFonts w:ascii="仿宋_GB2312" w:hAnsi="宋体" w:cs="宋体"/>
        </w:rPr>
      </w:pPr>
      <w:r>
        <w:rPr>
          <w:rFonts w:hint="eastAsia" w:ascii="仿宋_GB2312" w:hAnsi="宋体" w:cs="宋体"/>
          <w:b/>
        </w:rPr>
        <w:t>加强新时代高素质教师队伍建设</w:t>
      </w:r>
      <w:r>
        <w:rPr>
          <w:rFonts w:hint="eastAsia" w:ascii="仿宋_GB2312" w:hAnsi="宋体" w:cs="宋体"/>
        </w:rPr>
        <w:t>。按照“政治要强、情怀要深、思维要新、视野要广、自律要严、人格要正”要求，培育良好师德师风，打造一支高素质教师队伍。加强师德师风建设，明确中小学教师教育教学行为规范，推行师德责任清单、师德考核负面清单制度，树立先进典型弘扬高尚师德。加大教师培养和培训力度，</w:t>
      </w:r>
      <w:r>
        <w:rPr>
          <w:rFonts w:hint="eastAsia" w:ascii="仿宋_GB2312" w:hAnsi="仿宋_GB2312" w:cs="仿宋_GB2312"/>
        </w:rPr>
        <w:t>推进校本研修常态化发展，完善教师全员培训制度，建立分类、分层、分岗培训体系，健全教师人才培养梯队</w:t>
      </w:r>
      <w:r>
        <w:rPr>
          <w:rFonts w:hint="eastAsia" w:ascii="仿宋_GB2312" w:hAnsi="宋体" w:cs="宋体"/>
        </w:rPr>
        <w:t>。创新教师管理方式，推行中小学教师“区管校聘”制度和教师校长交流轮岗制度，建立以教育教学实绩为基准建立中小学教师考核评价指标体系。保障教师权益，优先保证教师工资待遇，健全教师工资长效联动机制和绩效工资分配办法，确保中小学教师平均工作水平不低于公务员平均工资水平。到</w:t>
      </w:r>
      <w:r>
        <w:rPr>
          <w:rFonts w:cs="宋体"/>
        </w:rPr>
        <w:t>2025</w:t>
      </w:r>
      <w:r>
        <w:rPr>
          <w:rFonts w:ascii="仿宋_GB2312" w:hAnsi="宋体" w:cs="宋体"/>
        </w:rPr>
        <w:t>年，形成梯次合理、水平较高的</w:t>
      </w:r>
      <w:r>
        <w:rPr>
          <w:rFonts w:hint="eastAsia" w:ascii="仿宋_GB2312" w:hAnsi="宋体" w:cs="宋体"/>
        </w:rPr>
        <w:t>专业化教师队伍。</w:t>
      </w:r>
    </w:p>
    <w:p>
      <w:pPr>
        <w:keepNext/>
        <w:keepLines/>
        <w:ind w:firstLine="643"/>
        <w:outlineLvl w:val="1"/>
        <w:rPr>
          <w:rFonts w:ascii="楷体" w:hAnsi="楷体" w:eastAsia="楷体" w:cs="Times New Roman"/>
          <w:b/>
          <w:bCs/>
          <w:szCs w:val="32"/>
        </w:rPr>
      </w:pPr>
      <w:bookmarkStart w:id="77" w:name="_Toc48224400"/>
      <w:r>
        <w:rPr>
          <w:rFonts w:hint="eastAsia" w:ascii="楷体" w:hAnsi="楷体" w:eastAsia="楷体" w:cs="Times New Roman"/>
          <w:b/>
          <w:bCs/>
          <w:szCs w:val="32"/>
        </w:rPr>
        <w:t>二、树立正确健康观建设健康东丽</w:t>
      </w:r>
      <w:bookmarkEnd w:id="77"/>
    </w:p>
    <w:p>
      <w:pPr>
        <w:ind w:firstLine="640"/>
        <w:rPr>
          <w:rFonts w:ascii="仿宋_GB2312" w:hAnsi="宋体" w:cs="宋体"/>
          <w:bCs/>
        </w:rPr>
      </w:pPr>
      <w:bookmarkStart w:id="78" w:name="_Hlk43300811"/>
      <w:r>
        <w:rPr>
          <w:rFonts w:hint="eastAsia" w:ascii="仿宋_GB2312" w:hAnsi="宋体" w:cs="宋体"/>
          <w:bCs/>
        </w:rPr>
        <w:t>落实“大卫生、大健康”理念，围绕</w:t>
      </w:r>
      <w:r>
        <w:rPr>
          <w:rFonts w:ascii="仿宋_GB2312" w:hAnsi="宋体" w:cs="宋体"/>
          <w:bCs/>
        </w:rPr>
        <w:t>健康中国建设要求，</w:t>
      </w:r>
      <w:r>
        <w:rPr>
          <w:rFonts w:hint="eastAsia" w:ascii="仿宋_GB2312" w:hAnsi="宋体" w:cs="宋体"/>
          <w:bCs/>
        </w:rPr>
        <w:t>深入开展东丽区健康天津行动，针对新冠肺炎疫情暴露短板，完善疾病防控服务体系，统筹医疗卫生资源优化配置，开展健康东丽建设、基本医疗卫生服务均等化、疾病预防控制体系建设等重点工程，全方位、全周期保障和促进人民健康，加快建设健康东丽。</w:t>
      </w:r>
    </w:p>
    <w:bookmarkEnd w:id="78"/>
    <w:p>
      <w:pPr>
        <w:ind w:firstLine="643"/>
        <w:rPr>
          <w:rFonts w:ascii="仿宋_GB2312" w:hAnsi="宋体" w:cs="宋体"/>
        </w:rPr>
      </w:pPr>
      <w:bookmarkStart w:id="79" w:name="_Hlk43573946"/>
      <w:bookmarkStart w:id="80" w:name="_Hlk43300827"/>
      <w:bookmarkStart w:id="81" w:name="_Hlk46153297"/>
      <w:r>
        <w:rPr>
          <w:rFonts w:hint="eastAsia" w:ascii="仿宋_GB2312" w:hAnsi="宋体" w:cs="宋体"/>
          <w:b/>
          <w:bCs/>
        </w:rPr>
        <w:t>坚持预防为主，积极</w:t>
      </w:r>
      <w:bookmarkStart w:id="82" w:name="_Hlk43300836"/>
      <w:r>
        <w:rPr>
          <w:rFonts w:hint="eastAsia" w:ascii="仿宋_GB2312" w:hAnsi="宋体" w:cs="宋体"/>
          <w:b/>
          <w:bCs/>
        </w:rPr>
        <w:t>开展健康教育和健康促进活动</w:t>
      </w:r>
      <w:bookmarkEnd w:id="79"/>
      <w:bookmarkEnd w:id="82"/>
      <w:r>
        <w:rPr>
          <w:rFonts w:hint="eastAsia" w:ascii="仿宋_GB2312" w:hAnsi="宋体" w:cs="宋体"/>
          <w:b/>
          <w:bCs/>
        </w:rPr>
        <w:t>。</w:t>
      </w:r>
      <w:r>
        <w:rPr>
          <w:rFonts w:hint="eastAsia" w:ascii="仿宋_GB2312" w:hAnsi="宋体" w:cs="宋体"/>
          <w:bCs/>
        </w:rPr>
        <w:t>深入开展东丽区健康天津行动，推进国家健康城区建设，</w:t>
      </w:r>
      <w:r>
        <w:rPr>
          <w:rFonts w:hint="eastAsia" w:ascii="仿宋_GB2312" w:hAnsi="宋体" w:cs="宋体"/>
        </w:rPr>
        <w:t>引导群众建立正确健康观、形成健康生活方式，</w:t>
      </w:r>
      <w:r>
        <w:rPr>
          <w:rFonts w:hint="eastAsia" w:ascii="仿宋_GB2312" w:hAnsi="宋体" w:cs="宋体"/>
          <w:bCs/>
        </w:rPr>
        <w:t>提升人民群众健康素养</w:t>
      </w:r>
      <w:r>
        <w:rPr>
          <w:rFonts w:hint="eastAsia" w:ascii="仿宋_GB2312" w:hAnsi="宋体" w:cs="宋体"/>
        </w:rPr>
        <w:t>。加强健康实施普及，健全健康教育网络，强化卫生防病和健康知识宣传，鼓励社区、医院、学校等积极开展健康教育活动。坚持预防为主，倡导合理膳食、全民健康、控制吸烟，积极干预健康影响因素。推进体医结合服务提升国民身体素质，依托社区卫生服务中心（站），推广</w:t>
      </w:r>
      <w:r>
        <w:rPr>
          <w:rFonts w:ascii="仿宋_GB2312" w:hAnsi="宋体" w:cs="宋体"/>
        </w:rPr>
        <w:t>体医结合的疾病管理和健康服务模式</w:t>
      </w:r>
      <w:r>
        <w:rPr>
          <w:rFonts w:hint="eastAsia" w:ascii="仿宋_GB2312" w:hAnsi="宋体" w:cs="宋体"/>
        </w:rPr>
        <w:t>。</w:t>
      </w:r>
      <w:bookmarkStart w:id="83" w:name="_Hlk46151225"/>
      <w:r>
        <w:rPr>
          <w:rFonts w:hint="eastAsia" w:ascii="仿宋_GB2312" w:hAnsi="宋体" w:cs="宋体"/>
        </w:rPr>
        <w:t>健全社会心理服务网络，建立精神卫生综合管理机制，推进心理健康教育、咨询、治疗、危机干预，</w:t>
      </w:r>
      <w:r>
        <w:rPr>
          <w:rFonts w:hint="eastAsia" w:ascii="仿宋_GB2312"/>
          <w:szCs w:val="32"/>
        </w:rPr>
        <w:t>建设包含心理咨询和治疗的东丽医院健康中心</w:t>
      </w:r>
      <w:r>
        <w:rPr>
          <w:rFonts w:hint="eastAsia" w:ascii="仿宋_GB2312" w:hAnsi="宋体" w:cs="宋体"/>
        </w:rPr>
        <w:t>。</w:t>
      </w:r>
      <w:r>
        <w:rPr>
          <w:rFonts w:hint="eastAsia" w:ascii="仿宋_GB2312"/>
          <w:szCs w:val="32"/>
        </w:rPr>
        <w:t>关注重点人群，落实妇女幼儿、中小学生、老年人、特殊工种健康促进工作，维护全生命周期健康。推进防治结合，</w:t>
      </w:r>
      <w:r>
        <w:rPr>
          <w:rFonts w:hint="eastAsia" w:ascii="仿宋_GB2312" w:hAnsi="宋体" w:cs="宋体"/>
        </w:rPr>
        <w:t>开展慢性病、传染病、地方病和职业病综合防控，</w:t>
      </w:r>
      <w:r>
        <w:rPr>
          <w:rFonts w:hint="eastAsia"/>
        </w:rPr>
        <w:t>创建慢性病综合防控示范区，</w:t>
      </w:r>
      <w:r>
        <w:rPr>
          <w:rFonts w:hint="eastAsia" w:ascii="仿宋_GB2312" w:hAnsi="宋体" w:cs="宋体"/>
        </w:rPr>
        <w:t>加强艾滋病、病毒性肝炎、结核病等重大传染病防控，强化碘缺乏病、氟中毒症等地方病防治。</w:t>
      </w:r>
      <w:bookmarkEnd w:id="83"/>
      <w:bookmarkStart w:id="84" w:name="_Hlk43574010"/>
      <w:r>
        <w:rPr>
          <w:rFonts w:hint="eastAsia" w:ascii="仿宋_GB2312" w:hAnsi="宋体" w:cs="宋体"/>
        </w:rPr>
        <w:t>到</w:t>
      </w:r>
      <w:r>
        <w:rPr>
          <w:rFonts w:cs="宋体"/>
        </w:rPr>
        <w:t>2025</w:t>
      </w:r>
      <w:r>
        <w:rPr>
          <w:rFonts w:ascii="仿宋_GB2312" w:hAnsi="宋体" w:cs="宋体"/>
        </w:rPr>
        <w:t>年</w:t>
      </w:r>
      <w:r>
        <w:rPr>
          <w:rFonts w:hint="eastAsia" w:ascii="仿宋_GB2312"/>
          <w:szCs w:val="32"/>
        </w:rPr>
        <w:t>，实现居民健康素养水平大幅提升</w:t>
      </w:r>
      <w:bookmarkEnd w:id="84"/>
      <w:r>
        <w:rPr>
          <w:rFonts w:ascii="仿宋_GB2312" w:hAnsi="宋体" w:cs="宋体"/>
        </w:rPr>
        <w:t>。</w:t>
      </w:r>
    </w:p>
    <w:bookmarkEnd w:id="80"/>
    <w:bookmarkEnd w:id="81"/>
    <w:p>
      <w:pPr>
        <w:ind w:firstLine="643"/>
        <w:rPr>
          <w:rFonts w:ascii="仿宋_GB2312" w:hAnsi="宋体" w:cs="宋体"/>
        </w:rPr>
      </w:pPr>
      <w:r>
        <w:rPr>
          <w:rFonts w:hint="eastAsia" w:ascii="仿宋_GB2312"/>
          <w:b/>
          <w:szCs w:val="32"/>
        </w:rPr>
        <w:t>优化</w:t>
      </w:r>
      <w:r>
        <w:rPr>
          <w:rFonts w:hint="eastAsia" w:ascii="仿宋_GB2312" w:hAnsi="宋体" w:cs="宋体"/>
          <w:b/>
          <w:bCs/>
        </w:rPr>
        <w:t>医疗卫生资源配置，推动基本医疗卫生服务</w:t>
      </w:r>
      <w:r>
        <w:rPr>
          <w:rFonts w:hint="eastAsia" w:ascii="仿宋_GB2312" w:hAnsi="宋体" w:cs="宋体"/>
          <w:b/>
        </w:rPr>
        <w:t>均等化</w:t>
      </w:r>
      <w:r>
        <w:rPr>
          <w:rFonts w:hint="eastAsia" w:ascii="仿宋_GB2312" w:hAnsi="宋体" w:cs="宋体"/>
        </w:rPr>
        <w:t>。加大优质医疗服务资源供给，提升基层公共卫生服务水平</w:t>
      </w:r>
      <w:r>
        <w:rPr>
          <w:rFonts w:hint="eastAsia" w:ascii="仿宋_GB2312"/>
          <w:szCs w:val="32"/>
        </w:rPr>
        <w:t>，让人民群众切实享受到医疗卫生事业发展带来的福祉</w:t>
      </w:r>
      <w:r>
        <w:rPr>
          <w:rFonts w:hint="eastAsia" w:ascii="仿宋_GB2312" w:hAnsi="宋体" w:cs="宋体"/>
        </w:rPr>
        <w:t>。优化医疗卫生资源布局，全面提升东丽医院综合能力，</w:t>
      </w:r>
      <w:r>
        <w:rPr>
          <w:rFonts w:hint="eastAsia" w:ascii="仿宋_GB2312"/>
          <w:szCs w:val="32"/>
        </w:rPr>
        <w:t>做好标准化全科门诊建设，</w:t>
      </w:r>
      <w:r>
        <w:rPr>
          <w:rFonts w:hint="eastAsia" w:ascii="仿宋_GB2312" w:hAnsi="宋体" w:cs="宋体"/>
        </w:rPr>
        <w:t>加快中医医院改建扩建工程，推进万新街、新立街等社区卫生服务中心（站）建设，</w:t>
      </w:r>
      <w:r>
        <w:rPr>
          <w:rFonts w:hint="eastAsia" w:ascii="仿宋_GB2312"/>
          <w:szCs w:val="32"/>
        </w:rPr>
        <w:t>做强基层医疗卫生服务能力。</w:t>
      </w:r>
      <w:r>
        <w:rPr>
          <w:rFonts w:hint="eastAsia" w:ascii="仿宋_GB2312" w:hAnsi="宋体" w:cs="宋体"/>
        </w:rPr>
        <w:t>深入推进医疗联合体建设，</w:t>
      </w:r>
      <w:r>
        <w:rPr>
          <w:rFonts w:hint="eastAsia" w:ascii="仿宋_GB2312"/>
          <w:szCs w:val="32"/>
        </w:rPr>
        <w:t>推动东丽医院与三中心深度合作，做强妇产科、儿科、感染、急诊、危重症医学及高级别创伤等学科；推进与中医药大学开展“提升中医药服务能力体系”战略合作，大力发展中医特色学科和中医药文化，加强中医人才培养。</w:t>
      </w:r>
      <w:r>
        <w:rPr>
          <w:rFonts w:hint="eastAsia" w:ascii="仿宋_GB2312" w:hAnsi="宋体" w:cs="宋体"/>
        </w:rPr>
        <w:t>扩大对</w:t>
      </w:r>
      <w:r>
        <w:rPr>
          <w:rFonts w:hint="eastAsia"/>
          <w:szCs w:val="32"/>
        </w:rPr>
        <w:t>各社区卫生服务中心</w:t>
      </w:r>
      <w:r>
        <w:rPr>
          <w:rFonts w:hint="eastAsia" w:ascii="仿宋_GB2312" w:hAnsi="宋体" w:cs="宋体"/>
        </w:rPr>
        <w:t>（站）</w:t>
      </w:r>
      <w:r>
        <w:rPr>
          <w:rFonts w:hint="eastAsia"/>
          <w:szCs w:val="32"/>
        </w:rPr>
        <w:t>辐射作用，创新医疗机构和医疗资源协作管理机制，</w:t>
      </w:r>
      <w:r>
        <w:rPr>
          <w:rFonts w:hint="eastAsia" w:ascii="仿宋_GB2312" w:hAnsi="宋体" w:cs="宋体"/>
        </w:rPr>
        <w:t>构建资源共享、分工协作的诊疗体系</w:t>
      </w:r>
      <w:r>
        <w:rPr>
          <w:rFonts w:hint="eastAsia" w:ascii="仿宋_GB2312"/>
          <w:szCs w:val="32"/>
        </w:rPr>
        <w:t>。加大专家引进力度，推进专家服务站建设。</w:t>
      </w:r>
      <w:r>
        <w:rPr>
          <w:rFonts w:hint="eastAsia" w:ascii="仿宋_GB2312" w:hAnsi="宋体" w:cs="宋体"/>
        </w:rPr>
        <w:t>到</w:t>
      </w:r>
      <w:r>
        <w:rPr>
          <w:rFonts w:cs="宋体"/>
        </w:rPr>
        <w:t>2025</w:t>
      </w:r>
      <w:r>
        <w:rPr>
          <w:rFonts w:hint="eastAsia" w:ascii="仿宋_GB2312" w:hAnsi="宋体" w:cs="宋体"/>
        </w:rPr>
        <w:t>年，每个街道办事处或</w:t>
      </w:r>
      <w:r>
        <w:rPr>
          <w:rFonts w:cs="宋体"/>
        </w:rPr>
        <w:t>3</w:t>
      </w:r>
      <w:r>
        <w:rPr>
          <w:rFonts w:ascii="仿宋_GB2312" w:hAnsi="宋体" w:cs="宋体"/>
        </w:rPr>
        <w:t>-</w:t>
      </w:r>
      <w:r>
        <w:rPr>
          <w:rFonts w:cs="宋体"/>
        </w:rPr>
        <w:t>10</w:t>
      </w:r>
      <w:r>
        <w:rPr>
          <w:rFonts w:hint="eastAsia" w:ascii="仿宋_GB2312" w:hAnsi="宋体" w:cs="宋体"/>
        </w:rPr>
        <w:t>万服务人口设置一所社区卫生服务中心，基层医疗卫生机构标准化建设达标率</w:t>
      </w:r>
      <w:r>
        <w:rPr>
          <w:rFonts w:cs="宋体"/>
        </w:rPr>
        <w:t>95</w:t>
      </w:r>
      <w:r>
        <w:rPr>
          <w:rFonts w:ascii="仿宋_GB2312" w:hAnsi="宋体" w:cs="宋体"/>
        </w:rPr>
        <w:t>%</w:t>
      </w:r>
      <w:r>
        <w:rPr>
          <w:rFonts w:hint="eastAsia" w:ascii="仿宋_GB2312" w:hAnsi="宋体" w:cs="宋体"/>
        </w:rPr>
        <w:t>以上，每千常住人口执业医师数超过</w:t>
      </w:r>
      <w:r>
        <w:rPr>
          <w:rFonts w:cs="宋体"/>
        </w:rPr>
        <w:t>2.5</w:t>
      </w:r>
      <w:r>
        <w:rPr>
          <w:rFonts w:ascii="仿宋_GB2312" w:hAnsi="宋体" w:cs="宋体"/>
        </w:rPr>
        <w:t>人。</w:t>
      </w:r>
    </w:p>
    <w:p>
      <w:pPr>
        <w:ind w:firstLine="643"/>
        <w:rPr>
          <w:rFonts w:ascii="仿宋_GB2312" w:hAnsi="宋体" w:cs="宋体"/>
        </w:rPr>
      </w:pPr>
      <w:r>
        <w:rPr>
          <w:rFonts w:hint="eastAsia" w:ascii="仿宋_GB2312"/>
          <w:b/>
          <w:szCs w:val="32"/>
        </w:rPr>
        <w:t>落实属地管理责任，健全公共卫生应急管理机制。</w:t>
      </w:r>
      <w:r>
        <w:rPr>
          <w:rFonts w:hint="eastAsia" w:ascii="仿宋_GB2312" w:hAnsi="宋体" w:cs="宋体"/>
          <w:bCs/>
        </w:rPr>
        <w:t>坚持预防为主、防治结合</w:t>
      </w:r>
      <w:r>
        <w:rPr>
          <w:rFonts w:hint="eastAsia" w:ascii="仿宋_GB2312" w:hAnsi="宋体" w:cs="宋体"/>
        </w:rPr>
        <w:t>，</w:t>
      </w:r>
      <w:r>
        <w:rPr>
          <w:rFonts w:hint="eastAsia"/>
          <w:shd w:val="clear" w:color="auto" w:fill="FFFFFF"/>
        </w:rPr>
        <w:t>确保人民群众生命安全和身体健康</w:t>
      </w:r>
      <w:r>
        <w:rPr>
          <w:rFonts w:hint="eastAsia" w:ascii="仿宋_GB2312" w:hAnsi="宋体" w:cs="宋体"/>
        </w:rPr>
        <w:t>。完善疾病预防控制体系，</w:t>
      </w:r>
      <w:r>
        <w:rPr>
          <w:rFonts w:hint="eastAsia"/>
          <w:shd w:val="clear" w:color="auto" w:fill="FFFFFF"/>
        </w:rPr>
        <w:t>优化医疗资源投入结构，提高疾病预防控制中心调查、分析、检验检测能力，加强社区卫生服务中心等基层防控和服务能力建设，织密织牢第一道防线</w:t>
      </w:r>
      <w:r>
        <w:rPr>
          <w:rFonts w:hint="eastAsia" w:ascii="仿宋_GB2312" w:hAnsi="宋体" w:cs="宋体"/>
        </w:rPr>
        <w:t>。完善定位明确、平战结合的应急医疗救治机制，</w:t>
      </w:r>
      <w:r>
        <w:rPr>
          <w:rFonts w:hint="eastAsia"/>
          <w:shd w:val="clear" w:color="auto" w:fill="FFFFFF"/>
        </w:rPr>
        <w:t>健全重大疫情等突发公共卫生事件应急响应机制，以两所二级医院为龙头建立集中统一高效的领导指挥体系，以疾控中心为核心建立预警监测体系，</w:t>
      </w:r>
      <w:r>
        <w:rPr>
          <w:rFonts w:hint="eastAsia" w:ascii="仿宋_GB2312"/>
          <w:szCs w:val="32"/>
        </w:rPr>
        <w:t>运用信息技术提升综合监测、快速检测、风险评估和及时预警能力，</w:t>
      </w:r>
      <w:r>
        <w:rPr>
          <w:rFonts w:hint="eastAsia" w:ascii="仿宋_GB2312" w:hAnsi="宋体" w:cs="宋体"/>
        </w:rPr>
        <w:t>建立健全分级、分层、分流的传染病等重大疫情救治机制。完善重大疾病医疗救助，探索建立特殊群体、特定疾病医药费豁免制度，</w:t>
      </w:r>
      <w:r>
        <w:rPr>
          <w:rFonts w:hint="eastAsia"/>
          <w:shd w:val="clear" w:color="auto" w:fill="FFFFFF"/>
        </w:rPr>
        <w:t>统筹基本医疗保险基金和公共卫生服务资金使用，提高对基层医疗机构的支付比例，实现公共卫生服务和医疗服务有效衔接。</w:t>
      </w:r>
      <w:r>
        <w:rPr>
          <w:rFonts w:hint="eastAsia" w:ascii="仿宋_GB2312" w:hAnsi="宋体" w:cs="宋体"/>
        </w:rPr>
        <w:t>到</w:t>
      </w:r>
      <w:r>
        <w:rPr>
          <w:rFonts w:cs="宋体"/>
        </w:rPr>
        <w:t>2025</w:t>
      </w:r>
      <w:r>
        <w:rPr>
          <w:rFonts w:ascii="仿宋_GB2312" w:hAnsi="宋体" w:cs="宋体"/>
        </w:rPr>
        <w:t>年，建成反应迅速的疫情应急响应和救治机制</w:t>
      </w:r>
      <w:r>
        <w:rPr>
          <w:rFonts w:hint="eastAsia" w:ascii="仿宋_GB2312" w:hAnsi="宋体" w:cs="宋体"/>
        </w:rPr>
        <w:t>，重大疫情防控水平进一步提高。</w:t>
      </w:r>
    </w:p>
    <w:p>
      <w:pPr>
        <w:ind w:firstLine="643"/>
        <w:rPr>
          <w:rFonts w:ascii="仿宋_GB2312" w:hAnsi="宋体" w:cs="宋体"/>
        </w:rPr>
      </w:pPr>
      <w:r>
        <w:rPr>
          <w:rFonts w:hint="eastAsia" w:ascii="仿宋_GB2312" w:hAnsi="宋体" w:cs="宋体"/>
          <w:b/>
        </w:rPr>
        <w:t>着力建设公共健康网络平台。</w:t>
      </w:r>
      <w:r>
        <w:rPr>
          <w:rFonts w:hint="eastAsia" w:ascii="仿宋_GB2312" w:hAnsi="宋体" w:cs="宋体"/>
        </w:rPr>
        <w:t>以公众健康为中心，以互联网为载体和技术手段，打造集涵盖全民健康信息、卫生综合管理、线上诊疗等功能的公共健康服务平台，优化就医流程、提高就医服务效率。提升全民公共健康信息化能力，借助大数据、云计算、物联网等新兴技术，打造全民健康信息平台，规范接入区域内的医疗卫生机构，横向联通智慧党建平台，纵向联通天津市健康信息平台，实现区域医疗卫生体系内的数据交换与共享。打造区域卫生综合管理平台，实现对公共卫生应急管理、医疗服务、基本药品、医疗机构绩效等指标实时有效监管，促进医疗卫生资源的合理分配、改善医院的服务质量和医疗水平。</w:t>
      </w:r>
      <w:r>
        <w:rPr>
          <w:rFonts w:hint="eastAsia" w:ascii="仿宋_GB2312"/>
          <w:szCs w:val="32"/>
        </w:rPr>
        <w:t>开设线上互联网医院，以实体医院为依托，实现三级医院间远程诊断、远程会诊、双向转诊、远程培训、分级质控等功能。</w:t>
      </w:r>
      <w:r>
        <w:rPr>
          <w:rFonts w:hint="eastAsia" w:ascii="仿宋_GB2312" w:hAnsi="宋体" w:cs="宋体"/>
        </w:rPr>
        <w:t>到</w:t>
      </w:r>
      <w:r>
        <w:rPr>
          <w:rFonts w:cs="宋体"/>
        </w:rPr>
        <w:t>2025</w:t>
      </w:r>
      <w:r>
        <w:rPr>
          <w:rFonts w:ascii="仿宋_GB2312" w:hAnsi="宋体" w:cs="宋体"/>
        </w:rPr>
        <w:t>年</w:t>
      </w:r>
      <w:r>
        <w:rPr>
          <w:rFonts w:hint="eastAsia" w:ascii="仿宋_GB2312" w:hAnsi="宋体" w:cs="宋体"/>
        </w:rPr>
        <w:t>，公共健康服务平台</w:t>
      </w:r>
      <w:r>
        <w:rPr>
          <w:rFonts w:ascii="仿宋_GB2312" w:hAnsi="宋体" w:cs="宋体"/>
        </w:rPr>
        <w:t>基本建成，公共医疗健康服务能力全面提升。</w:t>
      </w:r>
    </w:p>
    <w:p>
      <w:pPr>
        <w:keepNext/>
        <w:keepLines/>
        <w:ind w:firstLine="643"/>
        <w:outlineLvl w:val="1"/>
        <w:rPr>
          <w:rFonts w:ascii="楷体" w:hAnsi="楷体" w:eastAsia="楷体" w:cs="Times New Roman"/>
          <w:b/>
          <w:bCs/>
          <w:szCs w:val="32"/>
        </w:rPr>
      </w:pPr>
      <w:bookmarkStart w:id="85" w:name="_Toc48224401"/>
      <w:r>
        <w:rPr>
          <w:rFonts w:hint="eastAsia" w:ascii="楷体" w:hAnsi="楷体" w:eastAsia="楷体" w:cs="宋体"/>
          <w:b/>
          <w:bCs/>
          <w:szCs w:val="32"/>
        </w:rPr>
        <w:t>三</w:t>
      </w:r>
      <w:r>
        <w:rPr>
          <w:rFonts w:hint="eastAsia" w:ascii="楷体" w:hAnsi="楷体" w:eastAsia="楷体" w:cs="Times New Roman"/>
          <w:b/>
          <w:bCs/>
          <w:szCs w:val="32"/>
        </w:rPr>
        <w:t>、拓展多元供给推进文体事业繁荣</w:t>
      </w:r>
      <w:bookmarkEnd w:id="85"/>
    </w:p>
    <w:p>
      <w:pPr>
        <w:ind w:firstLine="640"/>
        <w:rPr>
          <w:rFonts w:ascii="仿宋_GB2312" w:hAnsi="宋体" w:cs="宋体"/>
          <w:bCs/>
        </w:rPr>
      </w:pPr>
      <w:bookmarkStart w:id="86" w:name="_Hlk43574146"/>
      <w:r>
        <w:rPr>
          <w:rFonts w:ascii="仿宋_GB2312" w:hAnsi="宋体" w:cs="宋体"/>
          <w:bCs/>
        </w:rPr>
        <w:t>以满足居民精神文化需求为导向，完善三级公共文化服务体系推进文化惠民，实施全民健身行动建设体育强区，促进文化旅游体育产业融合发展，增加城市文化软实力。</w:t>
      </w:r>
    </w:p>
    <w:p>
      <w:pPr>
        <w:ind w:firstLine="643"/>
        <w:rPr>
          <w:rFonts w:ascii="仿宋_GB2312" w:hAnsi="宋体" w:cs="宋体"/>
        </w:rPr>
      </w:pPr>
      <w:r>
        <w:rPr>
          <w:rFonts w:hint="eastAsia" w:ascii="仿宋_GB2312" w:hAnsi="宋体" w:cs="宋体"/>
          <w:b/>
          <w:bCs/>
        </w:rPr>
        <w:t>完善三级公共文化服务体系</w:t>
      </w:r>
      <w:bookmarkEnd w:id="86"/>
      <w:r>
        <w:rPr>
          <w:rFonts w:hint="eastAsia" w:ascii="仿宋_GB2312" w:hAnsi="宋体" w:cs="宋体"/>
        </w:rPr>
        <w:t>。推进基本公共文化服务均等化和标准化建设，提高公共文化服务效能。新建、整合和提升各类文化空间，高标准建设图书馆、博物馆、体育场地等大型公共文体基础设施，形成城市文化核心区。</w:t>
      </w:r>
      <w:r>
        <w:rPr>
          <w:rFonts w:hint="eastAsia" w:ascii="仿宋_GB2312"/>
          <w:szCs w:val="32"/>
        </w:rPr>
        <w:t>按照天津市公共文化服务体系标准，</w:t>
      </w:r>
      <w:r>
        <w:rPr>
          <w:rFonts w:hint="eastAsia" w:ascii="仿宋_GB2312" w:hAnsi="宋体" w:cs="宋体"/>
        </w:rPr>
        <w:t>依托党群服务中心建设街道文化中心、社区综合性文化服务中心，同步提升</w:t>
      </w:r>
      <w:r>
        <w:rPr>
          <w:rFonts w:hint="eastAsia" w:cs="Times New Roman"/>
          <w:bCs/>
          <w:szCs w:val="32"/>
        </w:rPr>
        <w:t>全民健身活动中心、社区健身园</w:t>
      </w:r>
      <w:r>
        <w:rPr>
          <w:rFonts w:hint="eastAsia" w:ascii="仿宋_GB2312" w:hAnsi="宋体" w:cs="宋体"/>
        </w:rPr>
        <w:t>，构建三级公共文体服务网络。开展多元文体活动，积极举办文化大讲堂、高雅艺术演出等系列文化活动。</w:t>
      </w:r>
      <w:bookmarkStart w:id="87" w:name="_Hlk46159503"/>
      <w:r>
        <w:rPr>
          <w:rFonts w:hint="eastAsia" w:ascii="仿宋_GB2312" w:hAnsi="宋体" w:cs="宋体"/>
        </w:rPr>
        <w:t>增强博物馆基本公共文化服务功能，加强文物资源整合、统筹规划、整体保护和展示利用。</w:t>
      </w:r>
      <w:bookmarkEnd w:id="87"/>
      <w:r>
        <w:rPr>
          <w:rFonts w:hint="eastAsia" w:ascii="仿宋_GB2312" w:hAnsi="宋体" w:cs="宋体"/>
        </w:rPr>
        <w:t>到</w:t>
      </w:r>
      <w:r>
        <w:rPr>
          <w:rFonts w:cs="宋体"/>
        </w:rPr>
        <w:t>2025</w:t>
      </w:r>
      <w:r>
        <w:rPr>
          <w:rFonts w:hint="eastAsia" w:ascii="仿宋_GB2312" w:hAnsi="宋体" w:cs="宋体"/>
        </w:rPr>
        <w:t>年，公共文化设施全面覆盖，</w:t>
      </w:r>
      <w:r>
        <w:rPr>
          <w:rFonts w:ascii="仿宋_GB2312" w:hAnsi="宋体" w:cs="宋体"/>
        </w:rPr>
        <w:t>公共文化服务质量显著提升。</w:t>
      </w:r>
    </w:p>
    <w:p>
      <w:pPr>
        <w:ind w:firstLine="643"/>
        <w:rPr>
          <w:rFonts w:ascii="仿宋_GB2312" w:hAnsi="宋体" w:cs="宋体"/>
        </w:rPr>
      </w:pPr>
      <w:bookmarkStart w:id="88" w:name="_Hlk46087577"/>
      <w:bookmarkStart w:id="89" w:name="_Hlk44941803"/>
      <w:r>
        <w:rPr>
          <w:rFonts w:hint="eastAsia" w:ascii="仿宋_GB2312" w:hAnsi="宋体" w:cs="宋体"/>
          <w:b/>
          <w:bCs/>
        </w:rPr>
        <w:t>建立更高水平全民健身公共服务体系。</w:t>
      </w:r>
      <w:bookmarkEnd w:id="88"/>
      <w:r>
        <w:rPr>
          <w:rFonts w:hint="eastAsia" w:ascii="仿宋_GB2312" w:hAnsi="宋体" w:cs="宋体"/>
        </w:rPr>
        <w:t>实施全民健身计划，全面提升城乡居民身体素质。</w:t>
      </w:r>
      <w:bookmarkStart w:id="90" w:name="_Hlk46087594"/>
      <w:r>
        <w:rPr>
          <w:rFonts w:hint="eastAsia" w:ascii="仿宋_GB2312" w:hAnsi="宋体" w:cs="宋体"/>
        </w:rPr>
        <w:t>完善公共体育场地设施布局</w:t>
      </w:r>
      <w:bookmarkEnd w:id="90"/>
      <w:r>
        <w:rPr>
          <w:rFonts w:hint="eastAsia" w:ascii="仿宋_GB2312" w:hAnsi="宋体" w:cs="宋体"/>
        </w:rPr>
        <w:t>，提升体育场地设施服务能力，推进公共体育场地设施和符合开放条件的体育场地设施向社会开放，打造“</w:t>
      </w:r>
      <w:r>
        <w:rPr>
          <w:rFonts w:ascii="仿宋_GB2312" w:hAnsi="宋体" w:cs="宋体"/>
        </w:rPr>
        <w:t>15分钟健身圈”。健全全民健身组织网络，依托体育组织推进健身活</w:t>
      </w:r>
      <w:r>
        <w:rPr>
          <w:rFonts w:hint="eastAsia" w:ascii="仿宋_GB2312" w:hAnsi="宋体" w:cs="宋体"/>
        </w:rPr>
        <w:t>动和健身指导普及，培养一批社会体育指导员和全民建设志愿者。推进“全国武术之乡”建设，开展京津冀大众体育交流合作活动、全区运动会，丰富全民健身活动内容。促进全民健身智慧化发展，建立与全面建成小康社会相适应的体育发展机制。到</w:t>
      </w:r>
      <w:r>
        <w:rPr>
          <w:rFonts w:ascii="仿宋_GB2312" w:hAnsi="宋体" w:cs="宋体"/>
        </w:rPr>
        <w:t>2025年，</w:t>
      </w:r>
      <w:r>
        <w:rPr>
          <w:rFonts w:hint="eastAsia" w:ascii="仿宋_GB2312" w:hAnsi="宋体" w:cs="宋体"/>
        </w:rPr>
        <w:t>经常参加体育锻炼的人数</w:t>
      </w:r>
      <w:r>
        <w:rPr>
          <w:rFonts w:ascii="仿宋_GB2312" w:hAnsi="宋体" w:cs="宋体"/>
        </w:rPr>
        <w:t>45%以上，人均体育场地面积达到2.55平方米，</w:t>
      </w:r>
      <w:r>
        <w:rPr>
          <w:rFonts w:hint="eastAsia"/>
          <w:szCs w:val="32"/>
        </w:rPr>
        <w:t>建有体育组织的街道达到</w:t>
      </w:r>
      <w:r>
        <w:rPr>
          <w:szCs w:val="32"/>
        </w:rPr>
        <w:t>90%</w:t>
      </w:r>
      <w:r>
        <w:rPr>
          <w:rFonts w:hint="eastAsia"/>
          <w:szCs w:val="32"/>
        </w:rPr>
        <w:t>以上，社会体育指导员和全民健身志愿者达到</w:t>
      </w:r>
      <w:r>
        <w:rPr>
          <w:szCs w:val="32"/>
        </w:rPr>
        <w:t>3500</w:t>
      </w:r>
      <w:r>
        <w:rPr>
          <w:rFonts w:hint="eastAsia"/>
          <w:szCs w:val="32"/>
        </w:rPr>
        <w:t>人，每年开展各类全民健身活动</w:t>
      </w:r>
      <w:r>
        <w:rPr>
          <w:szCs w:val="32"/>
        </w:rPr>
        <w:t>30</w:t>
      </w:r>
      <w:r>
        <w:rPr>
          <w:rFonts w:hint="eastAsia"/>
          <w:szCs w:val="32"/>
        </w:rPr>
        <w:t>项以上，</w:t>
      </w:r>
      <w:r>
        <w:rPr>
          <w:rFonts w:hint="eastAsia" w:ascii="仿宋_GB2312" w:hAnsi="宋体" w:cs="宋体"/>
        </w:rPr>
        <w:t>创建“全国全民运动健身模范区”。</w:t>
      </w:r>
    </w:p>
    <w:bookmarkEnd w:id="89"/>
    <w:p>
      <w:pPr>
        <w:ind w:firstLine="643"/>
        <w:rPr>
          <w:rFonts w:ascii="仿宋_GB2312" w:hAnsi="宋体" w:cs="宋体"/>
        </w:rPr>
      </w:pPr>
      <w:bookmarkStart w:id="91" w:name="_Hlk43300925"/>
      <w:r>
        <w:rPr>
          <w:rFonts w:hint="eastAsia" w:ascii="仿宋_GB2312" w:hAnsi="宋体" w:cs="宋体"/>
          <w:b/>
          <w:bCs/>
        </w:rPr>
        <w:t>促进文旅体育产业融合发展</w:t>
      </w:r>
      <w:bookmarkEnd w:id="91"/>
      <w:r>
        <w:rPr>
          <w:rFonts w:hint="eastAsia" w:ascii="仿宋_GB2312" w:hAnsi="宋体" w:cs="宋体"/>
          <w:b/>
          <w:bCs/>
        </w:rPr>
        <w:t>。</w:t>
      </w:r>
      <w:bookmarkStart w:id="92" w:name="_Hlk43300919"/>
      <w:r>
        <w:rPr>
          <w:rFonts w:hint="eastAsia" w:ascii="仿宋_GB2312" w:hAnsi="宋体" w:cs="宋体"/>
        </w:rPr>
        <w:t>推动业态融合创新，</w:t>
      </w:r>
      <w:bookmarkEnd w:id="92"/>
      <w:r>
        <w:rPr>
          <w:rFonts w:hint="eastAsia" w:ascii="仿宋_GB2312" w:hAnsi="宋体" w:cs="宋体"/>
        </w:rPr>
        <w:t>培育新型文化业态和文化消费模式，扩大文化体育产品和服务供给。培育新型文化业态，借助海河柳林地区规划建设国际设计之都契机，培育数字设计、数字内容开发、数字出版等数字文创新业态。推进文化和旅游</w:t>
      </w:r>
      <w:r>
        <w:rPr>
          <w:rFonts w:hint="eastAsia" w:ascii="仿宋_GB2312" w:cs="Times New Roman"/>
          <w:bCs/>
          <w:spacing w:val="-4"/>
          <w:kern w:val="0"/>
        </w:rPr>
        <w:t>产业融合发展，挖掘漕运文化、妈祖民俗、工业传统等文化底蕴，提升欢乐谷、恒大温泉中心等既有资源运营能力，打造集民俗体验、工业科普、主题娱乐为一体的文化旅游目的地。</w:t>
      </w:r>
      <w:r>
        <w:rPr>
          <w:rFonts w:hint="eastAsia" w:ascii="仿宋_GB2312" w:hAnsi="宋体" w:cs="宋体"/>
        </w:rPr>
        <w:t>丰富体育产业内容，促进体育消费，加大对体育旅游、体育传媒、冰雪体育等新兴业态的支持力度。到</w:t>
      </w:r>
      <w:r>
        <w:rPr>
          <w:rFonts w:cs="宋体"/>
        </w:rPr>
        <w:t>2025</w:t>
      </w:r>
      <w:r>
        <w:rPr>
          <w:rFonts w:hint="eastAsia" w:ascii="仿宋_GB2312" w:hAnsi="宋体" w:cs="宋体"/>
        </w:rPr>
        <w:t>年，初步形成具有东丽特色的文化和体育产业体系。</w:t>
      </w:r>
    </w:p>
    <w:p>
      <w:pPr>
        <w:keepNext/>
        <w:keepLines/>
        <w:ind w:firstLine="643"/>
        <w:outlineLvl w:val="1"/>
        <w:rPr>
          <w:rFonts w:ascii="楷体" w:hAnsi="楷体" w:eastAsia="楷体" w:cs="Times New Roman"/>
          <w:b/>
          <w:bCs/>
          <w:szCs w:val="32"/>
        </w:rPr>
      </w:pPr>
      <w:bookmarkStart w:id="93" w:name="_Toc48224402"/>
      <w:r>
        <w:rPr>
          <w:rFonts w:hint="eastAsia" w:ascii="楷体" w:hAnsi="楷体" w:eastAsia="楷体" w:cs="Times New Roman"/>
          <w:b/>
          <w:bCs/>
          <w:szCs w:val="32"/>
        </w:rPr>
        <w:t>四、兜牢民生底线提高民生保障水平</w:t>
      </w:r>
      <w:bookmarkEnd w:id="93"/>
    </w:p>
    <w:p>
      <w:pPr>
        <w:ind w:firstLine="640"/>
        <w:rPr>
          <w:rFonts w:ascii="仿宋_GB2312" w:hAnsi="宋体" w:cs="宋体"/>
          <w:bCs/>
        </w:rPr>
      </w:pPr>
      <w:bookmarkStart w:id="94" w:name="_Hlk46089250"/>
      <w:r>
        <w:rPr>
          <w:rFonts w:hint="eastAsia" w:ascii="仿宋_GB2312" w:hAnsi="宋体" w:cs="宋体"/>
          <w:bCs/>
        </w:rPr>
        <w:t>以增进民生福祉为根本目的，</w:t>
      </w:r>
      <w:r>
        <w:rPr>
          <w:rFonts w:ascii="仿宋_GB2312" w:hAnsi="宋体" w:cs="宋体"/>
          <w:bCs/>
        </w:rPr>
        <w:t>健全多层次社会保障体系，提高社会保障服务均等化和普惠化水平，切实解决困难群体生活障碍，</w:t>
      </w:r>
      <w:r>
        <w:rPr>
          <w:rFonts w:hint="eastAsia" w:ascii="仿宋_GB2312" w:hAnsi="宋体" w:cs="宋体"/>
          <w:bCs/>
        </w:rPr>
        <w:t>让人民群众共享发展成果。</w:t>
      </w:r>
    </w:p>
    <w:p>
      <w:pPr>
        <w:ind w:firstLine="643"/>
        <w:rPr>
          <w:rFonts w:ascii="仿宋_GB2312" w:hAnsi="宋体" w:cs="宋体"/>
        </w:rPr>
      </w:pPr>
      <w:r>
        <w:rPr>
          <w:rFonts w:hint="eastAsia" w:ascii="仿宋_GB2312" w:hAnsi="宋体" w:cs="宋体"/>
          <w:b/>
          <w:bCs/>
        </w:rPr>
        <w:t>坚持应保尽保提高社会保险覆盖率</w:t>
      </w:r>
      <w:bookmarkEnd w:id="94"/>
      <w:r>
        <w:rPr>
          <w:rFonts w:hint="eastAsia" w:ascii="仿宋_GB2312" w:hAnsi="宋体" w:cs="宋体"/>
        </w:rPr>
        <w:t>。全面实施全民参保计划，落实参保缴费激励约束机制和生活困难人员保险补贴制度，推进灵活就业人员、新就业形态人员、未参保居民等重点群体长期持续参保。落实城镇职工基本养老保险和城乡居民基本养老保险制度，扩大基本养老保险覆盖范围。落实统一的城乡居民基本医疗保险制度和大病保险制度，加大医疗保障政策宣传力度，巩固提升城乡居民基本医疗保险参保扩面成果。落实失业保险和工伤保险制度，</w:t>
      </w:r>
      <w:bookmarkStart w:id="95" w:name="_Hlk46089236"/>
      <w:r>
        <w:rPr>
          <w:rFonts w:hint="eastAsia" w:ascii="仿宋_GB2312" w:hAnsi="宋体" w:cs="宋体"/>
        </w:rPr>
        <w:t>全面开展职业病和工伤预防工作</w:t>
      </w:r>
      <w:bookmarkEnd w:id="95"/>
      <w:r>
        <w:rPr>
          <w:rFonts w:hint="eastAsia" w:ascii="仿宋_GB2312" w:hAnsi="宋体" w:cs="宋体"/>
        </w:rPr>
        <w:t>，促进企业和社会稳定发展。建设社会保险公共服务信息平台，充分应用互联网、大数据、移动应用等技术手段，实现线上、线下服务渠道的有机衔接。到</w:t>
      </w:r>
      <w:r>
        <w:rPr>
          <w:rFonts w:cs="宋体"/>
        </w:rPr>
        <w:t>2025</w:t>
      </w:r>
      <w:r>
        <w:rPr>
          <w:rFonts w:ascii="仿宋_GB2312" w:hAnsi="宋体" w:cs="宋体"/>
        </w:rPr>
        <w:t>年，</w:t>
      </w:r>
      <w:r>
        <w:rPr>
          <w:rFonts w:hint="eastAsia" w:ascii="仿宋_GB2312" w:hAnsi="宋体" w:cs="宋体"/>
        </w:rPr>
        <w:t>实现城乡居民养老保险、医疗保险全覆盖，失业保险、工伤保险、生育保险覆盖率大幅提升。</w:t>
      </w:r>
    </w:p>
    <w:p>
      <w:pPr>
        <w:ind w:firstLine="643"/>
        <w:rPr>
          <w:rFonts w:ascii="仿宋_GB2312" w:hAnsi="宋体" w:cs="宋体"/>
        </w:rPr>
      </w:pPr>
      <w:r>
        <w:rPr>
          <w:rFonts w:hint="eastAsia" w:ascii="仿宋_GB2312" w:hAnsi="宋体" w:cs="宋体"/>
          <w:b/>
          <w:bCs/>
        </w:rPr>
        <w:t>统筹优化社会救助与社会福利体系。</w:t>
      </w:r>
      <w:r>
        <w:rPr>
          <w:rFonts w:hint="eastAsia" w:ascii="仿宋_GB2312" w:hAnsi="宋体" w:cs="宋体"/>
        </w:rPr>
        <w:t>统筹完善社会救助、社会福利、慈善事业、优抚安置等制度，维护社会底线公平，解除困难群体生存危机。落实城乡低保制度和特困人员救助供养政策，深化“救急难”工作平台应用，推进社会救助信息共享、数据监测工作。落实残疾人专项福利补贴制度，依托网格化管理体系完善社区扶残助残服务，解决残疾人在生活和长期照护方面的困难。贯彻落实男女平等基本国策，为妇女儿童全面发展营造新环境，开展“巾帼就业”行动，完善“养治教康”儿童福利服务设施网络，健全特殊困境妇女儿童关爱帮扶机制。健全退役军人工作体系和保障制度，落实退役保障全流程覆盖，推进退役军人就业创业。促进公益慈善事业健康发展，激发专业化社会服务机构、志愿服务组织和慈善组织活力，培育民间互助基金、项目捐赠、慈善信托、网络慈善等新模式，有效补充政府力量。到</w:t>
      </w:r>
      <w:r>
        <w:rPr>
          <w:rFonts w:cs="宋体"/>
        </w:rPr>
        <w:t>2025</w:t>
      </w:r>
      <w:r>
        <w:rPr>
          <w:rFonts w:hint="eastAsia" w:ascii="仿宋_GB2312" w:hAnsi="宋体" w:cs="宋体"/>
        </w:rPr>
        <w:t>年，形成以“托底线、救急难、保民生”为基础的社会救助和社会福利体系。</w:t>
      </w:r>
    </w:p>
    <w:p>
      <w:pPr>
        <w:keepNext/>
        <w:keepLines/>
        <w:ind w:firstLine="643"/>
        <w:outlineLvl w:val="1"/>
        <w:rPr>
          <w:rFonts w:ascii="楷体" w:hAnsi="楷体" w:eastAsia="楷体" w:cs="Times New Roman"/>
          <w:b/>
          <w:bCs/>
          <w:szCs w:val="32"/>
        </w:rPr>
      </w:pPr>
      <w:bookmarkStart w:id="96" w:name="_Toc48224403"/>
      <w:r>
        <w:rPr>
          <w:rFonts w:hint="eastAsia" w:ascii="楷体" w:hAnsi="楷体" w:eastAsia="楷体" w:cs="Times New Roman"/>
          <w:b/>
          <w:bCs/>
          <w:szCs w:val="32"/>
        </w:rPr>
        <w:t>五、千方百计促进更高质量充分就业</w:t>
      </w:r>
      <w:bookmarkEnd w:id="96"/>
    </w:p>
    <w:p>
      <w:pPr>
        <w:ind w:firstLine="640"/>
        <w:rPr>
          <w:rFonts w:ascii="仿宋_GB2312" w:hAnsi="宋体" w:cs="宋体"/>
          <w:bCs/>
        </w:rPr>
      </w:pPr>
      <w:r>
        <w:rPr>
          <w:rFonts w:ascii="仿宋_GB2312" w:hAnsi="宋体" w:cs="宋体"/>
          <w:bCs/>
        </w:rPr>
        <w:t>落实国家“稳就业”战略导向，聚焦新产业、新业态，建立健全经济发展、社会发展、产业结构调整与扩大就业联动机制，开展扩大多元化就业岗位供给、居民定向就业培训等重点行动，全面提升还迁居民等重点群体职业技能水平和就业创业能力，推动实现更高质量的充分就业。</w:t>
      </w:r>
    </w:p>
    <w:p>
      <w:pPr>
        <w:ind w:firstLine="643"/>
        <w:rPr>
          <w:rFonts w:ascii="仿宋_GB2312" w:hAnsi="宋体" w:cs="宋体"/>
        </w:rPr>
      </w:pPr>
      <w:r>
        <w:rPr>
          <w:rFonts w:hint="eastAsia" w:ascii="仿宋_GB2312" w:hAnsi="宋体" w:cs="宋体"/>
          <w:b/>
          <w:bCs/>
        </w:rPr>
        <w:t>坚持就业优先扩大就业岗位供给</w:t>
      </w:r>
      <w:r>
        <w:rPr>
          <w:rFonts w:hint="eastAsia" w:ascii="仿宋_GB2312" w:hAnsi="宋体" w:cs="宋体"/>
        </w:rPr>
        <w:t>。落实就业优先战略，加快恢复和稳定就业，促进就业规模扩大和就业结构升级。探索新型就业形态，围绕社区服务、养老服务、生态屏障建设、新型基础设施建设、新业态发展等机会拓展多元化就业空间，培育一批就业中介服务机构，发展灵活用工、共享员工、就业见习等新型就业形态。加大企业稳岗支持力度，实施阶段性、有针对性的减税降费政策，落实企业吸纳重点群体就业的优惠补贴政策。优化自主创业环境，加大创业担保贷款支持力度，扩大引导基金扶持、政府项目对接等政策支持范围，发挥创业投资促进双创和增加就业的重要作用。到</w:t>
      </w:r>
      <w:r>
        <w:rPr>
          <w:rFonts w:cs="宋体"/>
        </w:rPr>
        <w:t>2025</w:t>
      </w:r>
      <w:r>
        <w:rPr>
          <w:rFonts w:hint="eastAsia" w:ascii="仿宋_GB2312" w:hAnsi="宋体" w:cs="宋体"/>
        </w:rPr>
        <w:t>年，创造更多就业岗位，累计新增就业人数超过</w:t>
      </w:r>
      <w:r>
        <w:rPr>
          <w:rFonts w:cs="宋体"/>
        </w:rPr>
        <w:t>9</w:t>
      </w:r>
      <w:r>
        <w:rPr>
          <w:rFonts w:ascii="仿宋_GB2312" w:hAnsi="宋体" w:cs="宋体"/>
        </w:rPr>
        <w:t>.</w:t>
      </w:r>
      <w:r>
        <w:rPr>
          <w:rFonts w:cs="宋体"/>
        </w:rPr>
        <w:t>5</w:t>
      </w:r>
      <w:r>
        <w:rPr>
          <w:rFonts w:ascii="仿宋_GB2312" w:hAnsi="宋体" w:cs="宋体"/>
        </w:rPr>
        <w:t>万人，</w:t>
      </w:r>
      <w:r>
        <w:rPr>
          <w:rFonts w:hint="eastAsia" w:ascii="仿宋_GB2312" w:hAnsi="宋体" w:cs="宋体"/>
        </w:rPr>
        <w:t>城镇登记失业率维持在</w:t>
      </w:r>
      <w:r>
        <w:rPr>
          <w:rFonts w:cs="宋体"/>
        </w:rPr>
        <w:t>3</w:t>
      </w:r>
      <w:r>
        <w:rPr>
          <w:rFonts w:ascii="仿宋_GB2312" w:hAnsi="宋体" w:cs="宋体"/>
        </w:rPr>
        <w:t>.</w:t>
      </w:r>
      <w:r>
        <w:rPr>
          <w:rFonts w:cs="宋体"/>
        </w:rPr>
        <w:t>5</w:t>
      </w:r>
      <w:r>
        <w:rPr>
          <w:rFonts w:ascii="仿宋_GB2312" w:hAnsi="宋体" w:cs="宋体"/>
        </w:rPr>
        <w:t>%以下。</w:t>
      </w:r>
    </w:p>
    <w:p>
      <w:pPr>
        <w:ind w:firstLine="643"/>
        <w:rPr>
          <w:rFonts w:ascii="仿宋_GB2312" w:hAnsi="宋体" w:cs="宋体"/>
        </w:rPr>
      </w:pPr>
      <w:r>
        <w:rPr>
          <w:rFonts w:hint="eastAsia" w:ascii="仿宋_GB2312" w:hAnsi="宋体" w:cs="宋体"/>
          <w:b/>
          <w:bCs/>
        </w:rPr>
        <w:t>聚焦居民需求完善职业培训和就业服务体系</w:t>
      </w:r>
      <w:r>
        <w:rPr>
          <w:rFonts w:hint="eastAsia" w:ascii="仿宋_GB2312" w:hAnsi="宋体" w:cs="宋体"/>
        </w:rPr>
        <w:t>。面向居民就业创业需求，切实优化职业培训和就业服务体系，缓解就业结构性矛盾。完善职业技能培训体系，围绕产业升级和企业创新发展要求整合就业培训资源，鼓励企业与职业院校、就业培训机构共建校企联合培训基地，针对企业职工、在校学生、妇女群众、失地农民不同对象开展精准培训。推进就业服务全覆盖，促进劳动年龄内、有劳动能力、有就业要求、处于失业状态的劳动者进行失业登记，建立劳动力资源档案，提供基本公共就业服务。强化常态化就业管理服务，建立登记失业人员定期联系和分级分类服务制度，定期提供职业介绍、职业指导、创业服务，推介就业创业政策和职业培训项目。</w:t>
      </w:r>
      <w:r>
        <w:rPr>
          <w:rFonts w:ascii="仿宋_GB2312" w:hAnsi="宋体" w:cs="宋体"/>
        </w:rPr>
        <w:t>到</w:t>
      </w:r>
      <w:r>
        <w:rPr>
          <w:rFonts w:cs="宋体"/>
        </w:rPr>
        <w:t>2025</w:t>
      </w:r>
      <w:r>
        <w:rPr>
          <w:rFonts w:ascii="仿宋_GB2312" w:hAnsi="宋体" w:cs="宋体"/>
        </w:rPr>
        <w:t>年，</w:t>
      </w:r>
      <w:r>
        <w:rPr>
          <w:rFonts w:hint="eastAsia" w:ascii="仿宋_GB2312" w:hAnsi="宋体" w:cs="宋体"/>
        </w:rPr>
        <w:t>确保就业形势持续稳定，就业目标任务完成。</w:t>
      </w:r>
    </w:p>
    <w:p>
      <w:pPr>
        <w:keepNext/>
        <w:keepLines/>
        <w:ind w:firstLine="643"/>
        <w:outlineLvl w:val="1"/>
        <w:rPr>
          <w:rFonts w:ascii="楷体" w:hAnsi="楷体" w:eastAsia="楷体" w:cs="Times New Roman"/>
          <w:b/>
          <w:bCs/>
          <w:szCs w:val="32"/>
        </w:rPr>
      </w:pPr>
      <w:bookmarkStart w:id="97" w:name="_Toc48224404"/>
      <w:r>
        <w:rPr>
          <w:rFonts w:hint="eastAsia" w:ascii="楷体" w:hAnsi="楷体" w:eastAsia="楷体" w:cs="Times New Roman"/>
          <w:b/>
          <w:bCs/>
          <w:szCs w:val="32"/>
        </w:rPr>
        <w:t>六、创新服务模式提升养老服务品质</w:t>
      </w:r>
      <w:bookmarkEnd w:id="97"/>
    </w:p>
    <w:p>
      <w:pPr>
        <w:ind w:firstLine="640"/>
        <w:rPr>
          <w:rFonts w:ascii="仿宋_GB2312" w:hAnsi="宋体" w:cs="宋体"/>
          <w:bCs/>
        </w:rPr>
      </w:pPr>
      <w:bookmarkStart w:id="98" w:name="_Hlk46151958"/>
      <w:r>
        <w:rPr>
          <w:rFonts w:ascii="仿宋_GB2312" w:hAnsi="宋体" w:cs="宋体"/>
          <w:bCs/>
        </w:rPr>
        <w:t>积极应对人口老龄化，加快完善居家为基础、社区为依托、机构为补充、医养有机结合的多层次养老服务体系，</w:t>
      </w:r>
      <w:r>
        <w:rPr>
          <w:rFonts w:hint="eastAsia"/>
          <w:shd w:val="clear" w:color="auto" w:fill="FFFFFF"/>
        </w:rPr>
        <w:t>加强老年人民生保障和服务供给，</w:t>
      </w:r>
      <w:r>
        <w:rPr>
          <w:rFonts w:ascii="仿宋_GB2312" w:hAnsi="宋体" w:cs="宋体"/>
          <w:bCs/>
        </w:rPr>
        <w:t>建设“老有所养”的和谐社会</w:t>
      </w:r>
      <w:r>
        <w:rPr>
          <w:rFonts w:hint="eastAsia" w:ascii="仿宋_GB2312" w:hAnsi="宋体" w:cs="宋体"/>
          <w:bCs/>
        </w:rPr>
        <w:t>，确保全体老年人共享小康社会建设成果</w:t>
      </w:r>
      <w:r>
        <w:rPr>
          <w:rFonts w:ascii="仿宋_GB2312" w:hAnsi="宋体" w:cs="宋体"/>
          <w:bCs/>
        </w:rPr>
        <w:t>。</w:t>
      </w:r>
    </w:p>
    <w:p>
      <w:pPr>
        <w:ind w:firstLine="643"/>
        <w:rPr>
          <w:rFonts w:ascii="仿宋_GB2312" w:hAnsi="宋体" w:cs="宋体"/>
        </w:rPr>
      </w:pPr>
      <w:r>
        <w:rPr>
          <w:rFonts w:hint="eastAsia" w:ascii="仿宋_GB2312" w:hAnsi="宋体" w:cs="宋体"/>
          <w:b/>
          <w:bCs/>
        </w:rPr>
        <w:t>推动居家养老、社区养老和机构养老融合发展</w:t>
      </w:r>
      <w:bookmarkEnd w:id="98"/>
      <w:r>
        <w:rPr>
          <w:rFonts w:hint="eastAsia" w:ascii="仿宋_GB2312" w:hAnsi="宋体" w:cs="宋体"/>
        </w:rPr>
        <w:t>。破除传统养老痛点，提升居家和社区养老综合服务能力，</w:t>
      </w:r>
      <w:r>
        <w:rPr>
          <w:rFonts w:hint="eastAsia"/>
          <w:shd w:val="clear" w:color="auto" w:fill="FFFFFF"/>
        </w:rPr>
        <w:t>健全以居家为基础、社区为依托、机构为补充的养老服务体系</w:t>
      </w:r>
      <w:r>
        <w:rPr>
          <w:rFonts w:hint="eastAsia" w:ascii="仿宋_GB2312" w:hAnsi="宋体" w:cs="宋体"/>
        </w:rPr>
        <w:t>。推进老年日间照料中心社会化运营改革，</w:t>
      </w:r>
      <w:r>
        <w:rPr>
          <w:rFonts w:hint="eastAsia" w:ascii="仿宋_GB2312"/>
          <w:spacing w:val="-4"/>
          <w:szCs w:val="32"/>
          <w:shd w:val="clear" w:color="auto" w:fill="FFFFFF"/>
        </w:rPr>
        <w:t>由养老机构、社会组织和企业承包运营服务，</w:t>
      </w:r>
      <w:bookmarkStart w:id="99" w:name="_Hlk46151978"/>
      <w:r>
        <w:rPr>
          <w:rFonts w:hint="eastAsia" w:ascii="仿宋_GB2312"/>
          <w:spacing w:val="-4"/>
          <w:szCs w:val="32"/>
          <w:shd w:val="clear" w:color="auto" w:fill="FFFFFF"/>
        </w:rPr>
        <w:t>鼓励日间照料中心、养老机构等延伸开展日间托养、康复护理、志愿关爱等服务</w:t>
      </w:r>
      <w:bookmarkEnd w:id="99"/>
      <w:r>
        <w:rPr>
          <w:rFonts w:hint="eastAsia" w:ascii="仿宋_GB2312"/>
          <w:spacing w:val="-4"/>
          <w:szCs w:val="32"/>
          <w:shd w:val="clear" w:color="auto" w:fill="FFFFFF"/>
        </w:rPr>
        <w:t>，探索“喘息服务”模式缓解居家养老压力。推广“互联网+养老”的智能居家养老模式，</w:t>
      </w:r>
      <w:r>
        <w:rPr>
          <w:rFonts w:hint="eastAsia" w:ascii="仿宋_GB2312" w:hAnsi="宋体" w:cs="宋体"/>
        </w:rPr>
        <w:t>支持企业和机构运用互联网、物联网等技术手段创新居家养老服务模式，提供紧急呼叫、家政预约、健康咨询等老年人服务项目。建立健全家庭养老支持政策，将经济困难老年人全部纳入居家养老服务（护理）补贴范围，为老年人随配偶或者赡养人迁徙提供条件。大力培养养老志愿者队伍，加快建立志愿服务记录制度，保护志愿者合法权益。到</w:t>
      </w:r>
      <w:r>
        <w:rPr>
          <w:rFonts w:cs="宋体"/>
        </w:rPr>
        <w:t>2025</w:t>
      </w:r>
      <w:r>
        <w:rPr>
          <w:rFonts w:hint="eastAsia" w:ascii="仿宋_GB2312" w:hAnsi="宋体" w:cs="宋体"/>
        </w:rPr>
        <w:t>年，新建或改扩建社区老年日照中心</w:t>
      </w:r>
      <w:r>
        <w:rPr>
          <w:rFonts w:cs="宋体"/>
        </w:rPr>
        <w:t>25</w:t>
      </w:r>
      <w:r>
        <w:rPr>
          <w:rFonts w:hint="eastAsia" w:ascii="仿宋_GB2312" w:hAnsi="宋体" w:cs="宋体"/>
        </w:rPr>
        <w:t>个。</w:t>
      </w:r>
    </w:p>
    <w:p>
      <w:pPr>
        <w:ind w:firstLine="643"/>
        <w:rPr>
          <w:rFonts w:ascii="仿宋_GB2312" w:hAnsi="宋体" w:cs="宋体"/>
        </w:rPr>
      </w:pPr>
      <w:r>
        <w:rPr>
          <w:rFonts w:hint="eastAsia" w:ascii="仿宋_GB2312" w:hAnsi="宋体" w:cs="宋体"/>
          <w:b/>
          <w:bCs/>
        </w:rPr>
        <w:t>引入社会力量扩大养老服务有效供给。</w:t>
      </w:r>
      <w:r>
        <w:rPr>
          <w:rFonts w:hint="eastAsia" w:ascii="仿宋_GB2312"/>
          <w:szCs w:val="32"/>
          <w:shd w:val="clear" w:color="auto" w:fill="FFFFFF"/>
        </w:rPr>
        <w:t>整合政府部门、社会力量和市场资源，统筹医疗服务和养老服务体系建设，缓解养老服务市场活力不足、服务质量不高的问题。</w:t>
      </w:r>
      <w:r>
        <w:rPr>
          <w:rFonts w:hint="eastAsia" w:ascii="仿宋_GB2312" w:hAnsi="宋体" w:cs="宋体"/>
        </w:rPr>
        <w:t>推进</w:t>
      </w:r>
      <w:r>
        <w:rPr>
          <w:rFonts w:ascii="仿宋_GB2312" w:hAnsi="宋体" w:cs="宋体"/>
        </w:rPr>
        <w:t>公办及公建民营养老机构建设，发挥政府主导作用，为经济困难失能老年人、计划生育特殊家庭老年人提供无偿或低收费托养服务。引导社会力量参与发展养老服务，坚持简政放权原则降低准入门槛，加强市场监管引导市场主体良性竞争和合理投资，提高养老机构的专业化、标准化、规范化水平。</w:t>
      </w:r>
      <w:r>
        <w:rPr>
          <w:rFonts w:hint="eastAsia" w:ascii="仿宋_GB2312" w:hAnsi="宋体" w:cs="宋体"/>
        </w:rPr>
        <w:t>引导</w:t>
      </w:r>
      <w:r>
        <w:rPr>
          <w:rFonts w:ascii="仿宋_GB2312" w:hAnsi="宋体" w:cs="宋体"/>
        </w:rPr>
        <w:t>“互联网+”养老服务创新，推进现有健康、养老等信息平台与</w:t>
      </w:r>
      <w:r>
        <w:rPr>
          <w:rFonts w:hint="eastAsia" w:ascii="仿宋_GB2312" w:hAnsi="宋体" w:cs="宋体"/>
        </w:rPr>
        <w:t>智慧党建统领智慧社会信息平台对接融合，</w:t>
      </w:r>
      <w:r>
        <w:rPr>
          <w:rFonts w:ascii="仿宋_GB2312" w:hAnsi="宋体" w:cs="宋体"/>
        </w:rPr>
        <w:t>打造覆盖家庭、社区和机构的智慧健康养老服务网络，以东丽湖为试点打造智慧养老服务场景</w:t>
      </w:r>
      <w:r>
        <w:rPr>
          <w:rFonts w:hint="eastAsia" w:ascii="仿宋_GB2312" w:hAnsi="宋体" w:cs="宋体"/>
        </w:rPr>
        <w:t>，推动老年人健康和养老信息共享、深度开发和合理利用</w:t>
      </w:r>
      <w:r>
        <w:rPr>
          <w:rFonts w:ascii="仿宋_GB2312" w:hAnsi="宋体" w:cs="宋体"/>
        </w:rPr>
        <w:t>。</w:t>
      </w:r>
      <w:r>
        <w:rPr>
          <w:rFonts w:hint="eastAsia" w:ascii="仿宋_GB2312" w:hAnsi="宋体" w:cs="宋体"/>
        </w:rPr>
        <w:t>到</w:t>
      </w:r>
      <w:r>
        <w:rPr>
          <w:rFonts w:cs="宋体"/>
        </w:rPr>
        <w:t>2025</w:t>
      </w:r>
      <w:r>
        <w:rPr>
          <w:rFonts w:hint="eastAsia" w:ascii="仿宋_GB2312" w:hAnsi="宋体" w:cs="宋体"/>
        </w:rPr>
        <w:t>年，形成低端有保障、中端有扶持、高端有引导的养老服务体系，实现每千人常住人口养老床位数</w:t>
      </w:r>
      <w:r>
        <w:rPr>
          <w:rFonts w:cs="宋体"/>
        </w:rPr>
        <w:t>40</w:t>
      </w:r>
      <w:r>
        <w:rPr>
          <w:rFonts w:hint="eastAsia" w:ascii="仿宋_GB2312" w:hAnsi="宋体" w:cs="宋体"/>
        </w:rPr>
        <w:t>张以上，民办养老机构床位占比不低于</w:t>
      </w:r>
      <w:r>
        <w:rPr>
          <w:rFonts w:cs="宋体"/>
        </w:rPr>
        <w:t>50</w:t>
      </w:r>
      <w:r>
        <w:rPr>
          <w:rFonts w:ascii="仿宋_GB2312" w:hAnsi="宋体" w:cs="宋体"/>
        </w:rPr>
        <w:t>%</w:t>
      </w:r>
      <w:r>
        <w:rPr>
          <w:rFonts w:hint="eastAsia" w:ascii="仿宋_GB2312" w:hAnsi="宋体" w:cs="宋体"/>
        </w:rPr>
        <w:t>。</w:t>
      </w:r>
    </w:p>
    <w:p>
      <w:pPr>
        <w:ind w:firstLine="643"/>
        <w:rPr>
          <w:rFonts w:ascii="仿宋_GB2312" w:hAnsi="宋体" w:cs="宋体"/>
        </w:rPr>
      </w:pPr>
      <w:r>
        <w:rPr>
          <w:rFonts w:hint="eastAsia" w:ascii="仿宋_GB2312" w:hAnsi="宋体" w:cs="宋体"/>
          <w:b/>
          <w:bCs/>
        </w:rPr>
        <w:t>加强医养结合提升健康养老服务水平</w:t>
      </w:r>
      <w:r>
        <w:rPr>
          <w:rFonts w:hint="eastAsia" w:ascii="仿宋_GB2312" w:hAnsi="宋体" w:cs="宋体"/>
        </w:rPr>
        <w:t>。深入推进医养结合发展，更好满足老年人健康养老服务需求。全面推动养老机构医养融合发展，鼓励养老服务机构内设诊所、医务室，推进养老机构与周边的医疗卫生机构开展多种形式的签约合作。提升社区医养结合服务能力，推进社区卫生服务机构、社区养老机构、敬老院利用现有资源，改扩建一批社区医养结合服务设施。加强养老队伍管理和培训，建立“护理人员信息库”，构建多元化培训体系提升养老护理人员职业和技能水平。全面放开养老服务市场，加大对社会力量建设医养结合机构的支持力度，采取公建民营、民办公助等方式，支持社会力量通过市场化运作方式为老年人提供多层次、多样化医养结合服务。到</w:t>
      </w:r>
      <w:r>
        <w:rPr>
          <w:rFonts w:cs="宋体"/>
        </w:rPr>
        <w:t>2025</w:t>
      </w:r>
      <w:r>
        <w:rPr>
          <w:rFonts w:ascii="仿宋_GB2312" w:hAnsi="宋体" w:cs="宋体"/>
        </w:rPr>
        <w:t>年，全区护理型床位占养老机构床位总数</w:t>
      </w:r>
      <w:r>
        <w:rPr>
          <w:rFonts w:cs="宋体"/>
        </w:rPr>
        <w:t>50</w:t>
      </w:r>
      <w:r>
        <w:rPr>
          <w:rFonts w:ascii="仿宋_GB2312" w:hAnsi="宋体" w:cs="宋体"/>
        </w:rPr>
        <w:t>%以上</w:t>
      </w:r>
      <w:r>
        <w:rPr>
          <w:rFonts w:hint="eastAsia" w:ascii="仿宋_GB2312" w:hAnsi="宋体" w:cs="宋体"/>
        </w:rPr>
        <w:t>。</w:t>
      </w:r>
    </w:p>
    <w:p>
      <w:pPr>
        <w:ind w:firstLine="643"/>
        <w:rPr>
          <w:rFonts w:ascii="仿宋_GB2312" w:hAnsi="宋体" w:cs="宋体"/>
        </w:rPr>
      </w:pPr>
      <w:r>
        <w:rPr>
          <w:rFonts w:hint="eastAsia" w:ascii="仿宋_GB2312" w:hAnsi="宋体" w:cs="宋体"/>
          <w:b/>
          <w:bCs/>
        </w:rPr>
        <w:t>搭建服务网络健全老年人关爱体系。</w:t>
      </w:r>
      <w:r>
        <w:rPr>
          <w:rFonts w:hint="eastAsia" w:ascii="仿宋_GB2312" w:hAnsi="宋体" w:cs="宋体"/>
        </w:rPr>
        <w:t>健全</w:t>
      </w:r>
      <w:r>
        <w:rPr>
          <w:rFonts w:ascii="仿宋_GB2312" w:hAnsi="宋体" w:cs="宋体"/>
        </w:rPr>
        <w:t>多元投入机制，积极支持老年人关爱服务体系建设，促进老年人安</w:t>
      </w:r>
      <w:r>
        <w:rPr>
          <w:rFonts w:hint="eastAsia" w:ascii="仿宋_GB2312" w:hAnsi="宋体" w:cs="宋体"/>
        </w:rPr>
        <w:t>享、乐享晚年。依托网格化基层治理体系建立健全定期巡访独居、空巢、留守老年人工作机制，积极防范和及时发现意外风险。推广“养老服务顾问”模式，支持有资质的社会组织接受计划生育特殊家庭、孤寡、残疾等特殊老年人委托，依法代为办理入住养老机构、就医等事务。大力发展老年教育，支持行业企业、高校院所开办老年大学服务社会，引导社区开展多种形式的老年教育活动。</w:t>
      </w:r>
      <w:r>
        <w:rPr>
          <w:rFonts w:hint="eastAsia" w:ascii="仿宋_GB2312"/>
          <w:szCs w:val="32"/>
          <w:shd w:val="clear" w:color="auto" w:fill="FFFFFF"/>
        </w:rPr>
        <w:t>扶持发展各类为老服务志愿组织，鼓励支持社会工作者参与养老服务，</w:t>
      </w:r>
      <w:bookmarkStart w:id="100" w:name="_Hlk46064731"/>
      <w:r>
        <w:rPr>
          <w:rFonts w:hint="eastAsia" w:ascii="仿宋_GB2312"/>
          <w:szCs w:val="32"/>
          <w:shd w:val="clear" w:color="auto" w:fill="FFFFFF"/>
        </w:rPr>
        <w:t>加强老年人心理疏导和精神慰藉</w:t>
      </w:r>
      <w:bookmarkEnd w:id="100"/>
      <w:r>
        <w:rPr>
          <w:rFonts w:hint="eastAsia" w:ascii="仿宋_GB2312"/>
          <w:szCs w:val="32"/>
          <w:shd w:val="clear" w:color="auto" w:fill="FFFFFF"/>
        </w:rPr>
        <w:t>。</w:t>
      </w:r>
      <w:r>
        <w:rPr>
          <w:rFonts w:hint="eastAsia" w:ascii="仿宋_GB2312" w:hAnsi="宋体" w:cs="宋体"/>
        </w:rPr>
        <w:t>到</w:t>
      </w:r>
      <w:r>
        <w:rPr>
          <w:rFonts w:cs="宋体"/>
        </w:rPr>
        <w:t>2025</w:t>
      </w:r>
      <w:r>
        <w:rPr>
          <w:rFonts w:ascii="仿宋_GB2312" w:hAnsi="宋体" w:cs="宋体"/>
        </w:rPr>
        <w:t>年，形成完善的老年人关爱服务体系，建设社区老年大学</w:t>
      </w:r>
      <w:r>
        <w:rPr>
          <w:rFonts w:cs="宋体"/>
        </w:rPr>
        <w:t>15</w:t>
      </w:r>
      <w:r>
        <w:rPr>
          <w:rFonts w:ascii="仿宋_GB2312" w:hAnsi="宋体" w:cs="宋体"/>
        </w:rPr>
        <w:t>所。</w:t>
      </w:r>
    </w:p>
    <w:p>
      <w:pPr>
        <w:keepNext/>
        <w:keepLines/>
        <w:ind w:firstLine="643"/>
        <w:outlineLvl w:val="1"/>
        <w:rPr>
          <w:rFonts w:ascii="楷体" w:hAnsi="楷体" w:eastAsia="楷体" w:cs="Times New Roman"/>
          <w:b/>
          <w:bCs/>
          <w:szCs w:val="32"/>
        </w:rPr>
      </w:pPr>
      <w:bookmarkStart w:id="101" w:name="_Toc48224405"/>
      <w:r>
        <w:rPr>
          <w:rFonts w:hint="eastAsia" w:ascii="楷体" w:hAnsi="楷体" w:eastAsia="楷体" w:cs="Times New Roman"/>
          <w:b/>
          <w:bCs/>
          <w:szCs w:val="32"/>
        </w:rPr>
        <w:t>七、加强人口管理释放“人口红利”</w:t>
      </w:r>
      <w:bookmarkEnd w:id="101"/>
    </w:p>
    <w:p>
      <w:pPr>
        <w:ind w:firstLine="640"/>
        <w:rPr>
          <w:rFonts w:ascii="仿宋_GB2312" w:hAnsi="宋体" w:cs="宋体"/>
          <w:bCs/>
        </w:rPr>
      </w:pPr>
      <w:bookmarkStart w:id="102" w:name="_Hlk46090277"/>
      <w:r>
        <w:rPr>
          <w:rFonts w:hint="eastAsia" w:ascii="仿宋_GB2312" w:hAnsi="宋体" w:cs="宋体"/>
          <w:bCs/>
        </w:rPr>
        <w:t>以促进人口均衡发展、全面提升人口素质为主线，综合施策，创造有利于发展的人口总量势能、结构红利和素质资本叠加优势，促进人口与经济、社会、资源、环境协调发展，为东丽智慧都市新区建设提供坚实基础和持久动力。</w:t>
      </w:r>
    </w:p>
    <w:p>
      <w:pPr>
        <w:ind w:firstLine="643"/>
        <w:rPr>
          <w:rFonts w:ascii="仿宋_GB2312" w:hAnsi="宋体" w:cs="宋体"/>
        </w:rPr>
      </w:pPr>
      <w:r>
        <w:rPr>
          <w:rFonts w:hint="eastAsia" w:ascii="仿宋_GB2312" w:hAnsi="宋体" w:cs="宋体"/>
          <w:b/>
          <w:bCs/>
        </w:rPr>
        <w:t>实现适度生育水平，延续人口势能优势</w:t>
      </w:r>
      <w:bookmarkEnd w:id="102"/>
      <w:r>
        <w:rPr>
          <w:rFonts w:hint="eastAsia" w:ascii="仿宋_GB2312" w:hAnsi="宋体" w:cs="宋体"/>
          <w:b/>
          <w:bCs/>
        </w:rPr>
        <w:t>。</w:t>
      </w:r>
      <w:r>
        <w:rPr>
          <w:rFonts w:hint="eastAsia" w:ascii="仿宋_GB2312" w:hAnsi="宋体" w:cs="宋体"/>
        </w:rPr>
        <w:t>以促进人口自身均衡发展为导向，进行超前谋划和政策储备，引导生育水平提升并稳定在适度区间。落实生育政策调控机制，坚持计划生育基本国策，落实全面两孩政策，密切监测生育水平变动态势，做好政策储备。</w:t>
      </w:r>
      <w:bookmarkStart w:id="103" w:name="_Hlk46090291"/>
      <w:r>
        <w:rPr>
          <w:rFonts w:hint="eastAsia" w:ascii="仿宋_GB2312" w:hAnsi="宋体" w:cs="宋体"/>
        </w:rPr>
        <w:t>健全妇幼健康计划生育服务体系，做好优生优育服务，发展婴幼儿照护服务</w:t>
      </w:r>
      <w:bookmarkEnd w:id="103"/>
      <w:r>
        <w:rPr>
          <w:rFonts w:hint="eastAsia" w:ascii="仿宋_GB2312" w:hAnsi="宋体" w:cs="宋体"/>
        </w:rPr>
        <w:t>，合理规划配置婴童照料资源，保障母婴权益。加大对计划生育家庭的扶助力度，对全面两孩政策实施前的独生子女家庭继续实行现行各项奖励扶助政策，在社会保障、集体收益分配、就业创业等方面予以倾斜。完善计划生育家庭特别扶助制度，加大对残疾人家庭、贫困家庭、计划生育特殊家庭、老年空巢家庭、单亲家庭等的帮扶支持力度。到</w:t>
      </w:r>
      <w:r>
        <w:rPr>
          <w:rFonts w:cs="宋体"/>
        </w:rPr>
        <w:t>2025</w:t>
      </w:r>
      <w:r>
        <w:rPr>
          <w:rFonts w:ascii="仿宋_GB2312" w:hAnsi="宋体" w:cs="宋体"/>
        </w:rPr>
        <w:t>年，将</w:t>
      </w:r>
      <w:r>
        <w:rPr>
          <w:rFonts w:hint="eastAsia"/>
          <w:shd w:val="clear" w:color="auto" w:fill="FFFFFF"/>
        </w:rPr>
        <w:t>人口自然增长率</w:t>
      </w:r>
      <w:r>
        <w:rPr>
          <w:rFonts w:ascii="仿宋_GB2312" w:hAnsi="宋体" w:cs="宋体"/>
        </w:rPr>
        <w:t>维持在</w:t>
      </w:r>
      <w:r>
        <w:rPr>
          <w:rFonts w:cs="宋体"/>
        </w:rPr>
        <w:t>3</w:t>
      </w:r>
      <w:r>
        <w:rPr>
          <w:rFonts w:ascii="仿宋_GB2312" w:hAnsi="宋体" w:cs="宋体"/>
        </w:rPr>
        <w:t>.</w:t>
      </w:r>
      <w:r>
        <w:rPr>
          <w:rFonts w:cs="宋体"/>
        </w:rPr>
        <w:t>0</w:t>
      </w:r>
      <w:r>
        <w:rPr>
          <w:rFonts w:ascii="仿宋_GB2312" w:hAnsi="宋体" w:cs="宋体"/>
        </w:rPr>
        <w:t>‰以上。</w:t>
      </w:r>
    </w:p>
    <w:p>
      <w:pPr>
        <w:ind w:firstLine="643"/>
        <w:rPr>
          <w:rFonts w:ascii="仿宋_GB2312" w:hAnsi="宋体" w:cs="宋体"/>
        </w:rPr>
      </w:pPr>
      <w:r>
        <w:rPr>
          <w:rFonts w:hint="eastAsia" w:ascii="仿宋_GB2312" w:hAnsi="宋体" w:cs="宋体"/>
          <w:b/>
          <w:bCs/>
        </w:rPr>
        <w:t>优化人口空间布局，引导人口合理分布。</w:t>
      </w:r>
      <w:r>
        <w:rPr>
          <w:rFonts w:hint="eastAsia" w:ascii="仿宋_GB2312" w:hAnsi="宋体" w:cs="宋体"/>
        </w:rPr>
        <w:t>完善以城市组团为主体形态的人口空间布局，促进人口分布与区域发展战略相适应，推进人口协调发展。根据人口规模和布局要素完善公共服务资源配置，增强基本公共服务对人口集聚和吸纳能力的支撑。完善人口流动政策体系，落实天津市落户政策，推进居住证制度覆盖全部未落户城镇常住人口，完善流动人口服务管理机制。加强人口基础信息采集和统计，切实推进人口基础信息库共建共享，发挥人口基础信息对决策的支撑作用。健全人口动态监测和评估体系，科学预测和分析人口因素对重大决策、重大改革和重大工程建设的影响，促进经济社会政策与人口政策有效衔接。到</w:t>
      </w:r>
      <w:r>
        <w:rPr>
          <w:rFonts w:cs="宋体"/>
        </w:rPr>
        <w:t>2025</w:t>
      </w:r>
      <w:r>
        <w:rPr>
          <w:rFonts w:hint="eastAsia" w:ascii="仿宋_GB2312" w:hAnsi="宋体" w:cs="宋体"/>
        </w:rPr>
        <w:t>年，实现东丽区常住人口</w:t>
      </w:r>
      <w:r>
        <w:rPr>
          <w:rFonts w:cs="宋体"/>
        </w:rPr>
        <w:t>100</w:t>
      </w:r>
      <w:r>
        <w:rPr>
          <w:rFonts w:hint="eastAsia" w:ascii="仿宋_GB2312" w:hAnsi="宋体" w:cs="宋体"/>
        </w:rPr>
        <w:t>万，各城市组团常住人口达到预期规模。</w:t>
      </w:r>
    </w:p>
    <w:p>
      <w:pPr>
        <w:widowControl/>
        <w:spacing w:line="240" w:lineRule="auto"/>
        <w:ind w:firstLine="643"/>
        <w:rPr>
          <w:rFonts w:ascii="黑体" w:hAnsi="黑体" w:eastAsia="黑体" w:cs="Times New Roman"/>
          <w:b/>
          <w:spacing w:val="-4"/>
          <w:kern w:val="44"/>
          <w:sz w:val="36"/>
          <w:szCs w:val="36"/>
        </w:rPr>
      </w:pPr>
      <w:bookmarkStart w:id="104" w:name="_Hlk43301076"/>
      <w:r>
        <w:rPr>
          <w:rFonts w:hint="eastAsia"/>
          <w:b/>
          <w:bCs/>
        </w:rPr>
        <w:t>大力提升人口素质，增强有效劳动力供给</w:t>
      </w:r>
      <w:bookmarkEnd w:id="104"/>
      <w:r>
        <w:rPr>
          <w:rFonts w:hint="eastAsia"/>
          <w:b/>
          <w:bCs/>
        </w:rPr>
        <w:t>。</w:t>
      </w:r>
      <w:r>
        <w:rPr>
          <w:rFonts w:hint="eastAsia"/>
        </w:rPr>
        <w:t>综合应对劳动年龄人口总量下降和结构老化趋势，全面提升劳动力质量，为经济社会发展提供有效人力资本支撑。提升高素质高技能外来人口比重，结合经济形态升级、社会分工精细特征，重点引进创新型、应用型、高技能、高素质大中专毕业生和技能劳动者，提高新增劳动力供给质量。全方位挖掘劳动力人口工作潜能，加大教育投入</w:t>
      </w:r>
      <w:r>
        <w:rPr>
          <w:rFonts w:hint="eastAsia"/>
          <w:shd w:val="clear" w:color="auto" w:fill="FFFFFF"/>
        </w:rPr>
        <w:t>提升</w:t>
      </w:r>
      <w:r>
        <w:rPr>
          <w:rFonts w:hint="eastAsia"/>
        </w:rPr>
        <w:t>劳动年龄人口平均受教育年限，</w:t>
      </w:r>
      <w:r>
        <w:rPr>
          <w:rFonts w:hint="eastAsia"/>
          <w:shd w:val="clear" w:color="auto" w:fill="FFFFFF"/>
        </w:rPr>
        <w:t>完善以就业技能、岗位技能提升和创业为主的培训体系，</w:t>
      </w:r>
      <w:r>
        <w:rPr>
          <w:rFonts w:hint="eastAsia"/>
        </w:rPr>
        <w:t>提升适龄劳动力人口就业创业水平。到</w:t>
      </w:r>
      <w:r>
        <w:t>2025</w:t>
      </w:r>
      <w:r>
        <w:rPr>
          <w:rFonts w:hint="eastAsia"/>
        </w:rPr>
        <w:t>年，劳动年龄人口平均受教育年限达到</w:t>
      </w:r>
      <w:r>
        <w:t>12</w:t>
      </w:r>
      <w:r>
        <w:rPr>
          <w:rFonts w:hint="eastAsia"/>
        </w:rPr>
        <w:t>年。</w:t>
      </w:r>
      <w:r>
        <w:rPr>
          <w:rFonts w:ascii="黑体" w:hAnsi="黑体" w:eastAsia="黑体" w:cs="Times New Roman"/>
          <w:b/>
          <w:spacing w:val="-4"/>
          <w:kern w:val="44"/>
          <w:sz w:val="36"/>
          <w:szCs w:val="36"/>
        </w:rPr>
        <w:br w:type="page"/>
      </w:r>
    </w:p>
    <w:p>
      <w:pPr>
        <w:keepNext/>
        <w:keepLines/>
        <w:adjustRightInd w:val="0"/>
        <w:ind w:firstLine="0" w:firstLineChars="0"/>
        <w:jc w:val="center"/>
        <w:textAlignment w:val="baseline"/>
        <w:outlineLvl w:val="0"/>
        <w:rPr>
          <w:rFonts w:ascii="方正小标宋简体" w:hAnsi="黑体" w:eastAsia="方正小标宋简体" w:cs="Times New Roman"/>
          <w:b/>
          <w:bCs/>
          <w:spacing w:val="-4"/>
          <w:kern w:val="44"/>
          <w:sz w:val="36"/>
          <w:szCs w:val="36"/>
        </w:rPr>
      </w:pPr>
      <w:bookmarkStart w:id="105" w:name="_Toc48224406"/>
      <w:r>
        <w:rPr>
          <w:rFonts w:hint="eastAsia" w:ascii="黑体" w:hAnsi="黑体" w:eastAsia="黑体" w:cs="Times New Roman"/>
          <w:b/>
          <w:spacing w:val="-4"/>
          <w:kern w:val="44"/>
          <w:sz w:val="36"/>
          <w:szCs w:val="36"/>
        </w:rPr>
        <w:t>第七章</w:t>
      </w:r>
      <w:r>
        <w:rPr>
          <w:rFonts w:ascii="黑体" w:hAnsi="黑体" w:eastAsia="黑体" w:cs="Times New Roman"/>
          <w:b/>
          <w:spacing w:val="-4"/>
          <w:kern w:val="44"/>
          <w:sz w:val="36"/>
          <w:szCs w:val="36"/>
        </w:rPr>
        <w:t xml:space="preserve"> </w:t>
      </w:r>
      <w:r>
        <w:rPr>
          <w:rFonts w:hint="eastAsia" w:ascii="黑体" w:hAnsi="黑体" w:eastAsia="黑体" w:cs="Times New Roman"/>
          <w:b/>
          <w:spacing w:val="-4"/>
          <w:kern w:val="44"/>
          <w:sz w:val="36"/>
          <w:szCs w:val="36"/>
        </w:rPr>
        <w:t>绿色发展，构筑都市生态</w:t>
      </w:r>
      <w:bookmarkEnd w:id="105"/>
      <w:r>
        <w:rPr>
          <w:rFonts w:hint="eastAsia" w:ascii="黑体" w:hAnsi="黑体" w:eastAsia="黑体" w:cs="Times New Roman"/>
          <w:b/>
          <w:spacing w:val="-4"/>
          <w:kern w:val="44"/>
          <w:sz w:val="36"/>
          <w:szCs w:val="36"/>
        </w:rPr>
        <w:t>高地</w:t>
      </w:r>
    </w:p>
    <w:p>
      <w:pPr>
        <w:ind w:left="160" w:leftChars="50" w:firstLine="624"/>
        <w:rPr>
          <w:rFonts w:ascii="仿宋_GB2312" w:cs="Times New Roman"/>
          <w:bCs/>
          <w:spacing w:val="-4"/>
          <w:kern w:val="0"/>
        </w:rPr>
      </w:pPr>
      <w:bookmarkStart w:id="106" w:name="_Hlk46225690"/>
      <w:r>
        <w:rPr>
          <w:rFonts w:hint="eastAsia" w:ascii="仿宋_GB2312" w:hAnsi="宋体" w:cs="宋体"/>
          <w:bCs/>
          <w:spacing w:val="-4"/>
          <w:kern w:val="0"/>
        </w:rPr>
        <w:t>坚</w:t>
      </w:r>
      <w:r>
        <w:rPr>
          <w:rFonts w:hint="eastAsia" w:ascii="仿宋_GB2312" w:cs="Times New Roman"/>
          <w:bCs/>
          <w:spacing w:val="-4"/>
          <w:kern w:val="0"/>
        </w:rPr>
        <w:t>持绿色发展理念，落实乡村振兴战略要求，以融入天津市生态格局为导向，以建设绿色生态屏障为主线，加强生态空间与城市发展互动，</w:t>
      </w:r>
      <w:bookmarkEnd w:id="106"/>
      <w:r>
        <w:rPr>
          <w:rFonts w:hint="eastAsia" w:ascii="仿宋_GB2312" w:cs="Times New Roman"/>
          <w:bCs/>
          <w:spacing w:val="-4"/>
          <w:kern w:val="0"/>
        </w:rPr>
        <w:t>释放东丽湖、海河、赤土生态湿地等生态资源经济价值，构建绿色生产生活体系，从源头解决污染排放问题，打造绿色生态宜居城区。</w:t>
      </w:r>
    </w:p>
    <w:p>
      <w:pPr>
        <w:keepNext/>
        <w:keepLines/>
        <w:ind w:firstLine="643"/>
        <w:outlineLvl w:val="1"/>
        <w:rPr>
          <w:rFonts w:ascii="楷体" w:hAnsi="楷体" w:eastAsia="楷体" w:cs="Times New Roman"/>
          <w:b/>
          <w:bCs/>
          <w:szCs w:val="32"/>
        </w:rPr>
      </w:pPr>
      <w:bookmarkStart w:id="107" w:name="_Toc48224407"/>
      <w:r>
        <w:rPr>
          <w:rFonts w:hint="eastAsia" w:ascii="楷体" w:hAnsi="楷体" w:eastAsia="楷体" w:cs="Times New Roman"/>
          <w:b/>
          <w:bCs/>
          <w:szCs w:val="32"/>
        </w:rPr>
        <w:t>一、筑牢绿色屏障构筑都市生态</w:t>
      </w:r>
      <w:bookmarkEnd w:id="107"/>
      <w:r>
        <w:rPr>
          <w:rFonts w:hint="eastAsia" w:ascii="楷体" w:hAnsi="楷体" w:eastAsia="楷体" w:cs="Times New Roman"/>
          <w:b/>
          <w:bCs/>
          <w:szCs w:val="32"/>
        </w:rPr>
        <w:t>高地</w:t>
      </w:r>
    </w:p>
    <w:p>
      <w:pPr>
        <w:ind w:left="160" w:leftChars="50" w:firstLine="624"/>
        <w:rPr>
          <w:rFonts w:ascii="仿宋_GB2312" w:cs="Times New Roman"/>
          <w:spacing w:val="-4"/>
          <w:kern w:val="0"/>
        </w:rPr>
      </w:pPr>
      <w:bookmarkStart w:id="108" w:name="_Hlk43301133"/>
      <w:r>
        <w:rPr>
          <w:rFonts w:hint="eastAsia" w:ascii="仿宋_GB2312" w:cs="Times New Roman"/>
          <w:spacing w:val="-4"/>
          <w:kern w:val="0"/>
        </w:rPr>
        <w:t>落实天津市绿色生态屏障建设规划，</w:t>
      </w:r>
      <w:r>
        <w:rPr>
          <w:rFonts w:hint="eastAsia"/>
        </w:rPr>
        <w:t>坚持世界眼光、国际标准、高点定位，</w:t>
      </w:r>
      <w:r>
        <w:rPr>
          <w:rFonts w:hint="eastAsia" w:ascii="仿宋_GB2312" w:cs="Times New Roman"/>
          <w:spacing w:val="-4"/>
          <w:kern w:val="0"/>
        </w:rPr>
        <w:t>以增强生态调节功能为导向，严格生态底线管理，推进重点生态资源保护修复，挖潜生态资源经济价值，构筑都市生态高地。</w:t>
      </w:r>
    </w:p>
    <w:p>
      <w:pPr>
        <w:ind w:left="160" w:leftChars="50" w:firstLine="627"/>
        <w:rPr>
          <w:rFonts w:ascii="仿宋_GB2312" w:cs="Times New Roman"/>
          <w:bCs/>
          <w:spacing w:val="-4"/>
          <w:kern w:val="0"/>
        </w:rPr>
      </w:pPr>
      <w:r>
        <w:rPr>
          <w:rFonts w:hint="eastAsia" w:ascii="仿宋_GB2312" w:cs="Times New Roman"/>
          <w:b/>
          <w:spacing w:val="-4"/>
          <w:kern w:val="0"/>
        </w:rPr>
        <w:t>推进河湖林田生态资源保护修复</w:t>
      </w:r>
      <w:bookmarkEnd w:id="108"/>
      <w:r>
        <w:rPr>
          <w:rFonts w:hint="eastAsia" w:ascii="仿宋_GB2312" w:cs="Times New Roman"/>
          <w:b/>
          <w:spacing w:val="-4"/>
          <w:kern w:val="0"/>
        </w:rPr>
        <w:t>。</w:t>
      </w:r>
      <w:r>
        <w:rPr>
          <w:rFonts w:hint="eastAsia" w:ascii="仿宋_GB2312" w:cs="Times New Roman"/>
          <w:bCs/>
          <w:spacing w:val="-4"/>
          <w:kern w:val="0"/>
        </w:rPr>
        <w:t>落实天津市绿色生态屏障建设要求，以重点项目为支撑，合理规划生态屏障建设模式。加强对海河、东丽湖、赤土生态湿地、基本农田、现有林地等生态资源的保护修复，围绕“一廊两芯两环六片区”布局，推进海河生态芯、“天”字型骨架一纵六横绿化带、等重点片区生态建设。合理确定生态屏障工程布局与建设时序，采用分期滚动开发模式，与专业化生态建设企业合作</w:t>
      </w:r>
      <w:r>
        <w:rPr>
          <w:rFonts w:hint="eastAsia" w:ascii="仿宋_GB2312" w:cs="Times New Roman"/>
          <w:spacing w:val="-4"/>
          <w:kern w:val="0"/>
        </w:rPr>
        <w:t>推进生态屏障项目建设</w:t>
      </w:r>
      <w:r>
        <w:rPr>
          <w:rFonts w:hint="eastAsia" w:ascii="仿宋_GB2312" w:cs="Times New Roman"/>
          <w:bCs/>
          <w:spacing w:val="-4"/>
          <w:kern w:val="0"/>
        </w:rPr>
        <w:t>，依托生态债券、生态基金等生态金融产品拓宽生态屏障建设融资渠道。</w:t>
      </w:r>
      <w:r>
        <w:rPr>
          <w:rFonts w:hint="eastAsia" w:ascii="仿宋_GB2312" w:hAnsi="宋体" w:cs="宋体"/>
          <w:bCs/>
          <w:spacing w:val="-4"/>
          <w:kern w:val="0"/>
        </w:rPr>
        <w:t>到</w:t>
      </w:r>
      <w:r>
        <w:rPr>
          <w:rFonts w:cs="宋体"/>
          <w:bCs/>
          <w:spacing w:val="-4"/>
          <w:kern w:val="0"/>
        </w:rPr>
        <w:t>2025</w:t>
      </w:r>
      <w:r>
        <w:rPr>
          <w:rFonts w:hint="eastAsia" w:ascii="仿宋_GB2312" w:hAnsi="宋体" w:cs="宋体"/>
          <w:bCs/>
          <w:spacing w:val="-4"/>
          <w:kern w:val="0"/>
        </w:rPr>
        <w:t>年，</w:t>
      </w:r>
      <w:r>
        <w:rPr>
          <w:rFonts w:hint="eastAsia" w:ascii="仿宋_GB2312" w:cs="Times New Roman"/>
          <w:bCs/>
          <w:spacing w:val="-4"/>
          <w:kern w:val="0"/>
        </w:rPr>
        <w:t>实现一级管控区蓝绿空间占比</w:t>
      </w:r>
      <w:r>
        <w:rPr>
          <w:rFonts w:cs="Times New Roman"/>
          <w:bCs/>
          <w:spacing w:val="-4"/>
          <w:kern w:val="0"/>
        </w:rPr>
        <w:t>85</w:t>
      </w:r>
      <w:r>
        <w:rPr>
          <w:rFonts w:hint="eastAsia" w:ascii="仿宋_GB2312" w:cs="Times New Roman"/>
          <w:bCs/>
          <w:spacing w:val="-4"/>
          <w:kern w:val="0"/>
        </w:rPr>
        <w:t>%、生态屏障区蓝绿空间占比</w:t>
      </w:r>
      <w:r>
        <w:rPr>
          <w:rFonts w:cs="Times New Roman"/>
          <w:bCs/>
          <w:spacing w:val="-4"/>
          <w:kern w:val="0"/>
        </w:rPr>
        <w:t>65</w:t>
      </w:r>
      <w:r>
        <w:rPr>
          <w:rFonts w:hint="eastAsia" w:ascii="仿宋_GB2312" w:cs="Times New Roman"/>
          <w:bCs/>
          <w:spacing w:val="-4"/>
          <w:kern w:val="0"/>
        </w:rPr>
        <w:t>%建设目标，绿地覆盖率达到</w:t>
      </w:r>
      <w:r>
        <w:rPr>
          <w:rFonts w:cs="Times New Roman"/>
          <w:bCs/>
          <w:spacing w:val="-4"/>
          <w:kern w:val="0"/>
        </w:rPr>
        <w:t>46</w:t>
      </w:r>
      <w:r>
        <w:rPr>
          <w:rFonts w:hint="eastAsia" w:ascii="仿宋_GB2312" w:cs="Times New Roman"/>
          <w:bCs/>
          <w:spacing w:val="-4"/>
          <w:kern w:val="0"/>
        </w:rPr>
        <w:t>%。</w:t>
      </w:r>
    </w:p>
    <w:p>
      <w:pPr>
        <w:ind w:left="160" w:leftChars="50" w:firstLine="627"/>
        <w:rPr>
          <w:rFonts w:ascii="仿宋_GB2312" w:cs="Times New Roman"/>
          <w:bCs/>
          <w:spacing w:val="-4"/>
          <w:kern w:val="0"/>
        </w:rPr>
      </w:pPr>
      <w:r>
        <w:rPr>
          <w:rFonts w:hint="eastAsia" w:ascii="仿宋_GB2312" w:cs="Times New Roman"/>
          <w:b/>
          <w:spacing w:val="-4"/>
          <w:kern w:val="0"/>
        </w:rPr>
        <w:t>引入市场机制促进生态资源经济价值转化。</w:t>
      </w:r>
      <w:r>
        <w:rPr>
          <w:rFonts w:hint="eastAsia" w:ascii="仿宋_GB2312" w:cs="Times New Roman"/>
          <w:spacing w:val="-4"/>
          <w:kern w:val="0"/>
        </w:rPr>
        <w:t>以</w:t>
      </w:r>
      <w:r>
        <w:rPr>
          <w:rFonts w:hint="eastAsia" w:ascii="仿宋_GB2312" w:cs="Times New Roman"/>
          <w:bCs/>
          <w:spacing w:val="-4"/>
          <w:kern w:val="0"/>
        </w:rPr>
        <w:t>推动生态要素向生产要素、生态财富向物质财富转变为导向，完善生态资源市场化交易机制，打通“绿水青山”与“金山银山”转化渠道。构建生态资源价值评估体系，编制自然资源资产负债表、核算生态资源价值，以生态资源价值评估为中介，构建“资源-资产-资本”的生态资源转化链条。建立生态资源市场化交易机制，搭建生态资源市场化交易平台，完善“谁受益谁补偿”的市场化生态补偿机制，探索资源开发补偿、污染物减排补偿、水资源节约补偿、碳排放权抵消补偿等多元化补偿机制，激发全社会参与生态保护的积极性。到</w:t>
      </w:r>
      <w:r>
        <w:rPr>
          <w:rFonts w:cs="Times New Roman"/>
          <w:bCs/>
          <w:spacing w:val="-4"/>
          <w:kern w:val="0"/>
        </w:rPr>
        <w:t>2025</w:t>
      </w:r>
      <w:r>
        <w:rPr>
          <w:rFonts w:hint="eastAsia" w:ascii="仿宋_GB2312" w:cs="Times New Roman"/>
          <w:bCs/>
          <w:spacing w:val="-4"/>
          <w:kern w:val="0"/>
        </w:rPr>
        <w:t>年，基本形成有效运作的生态资源资本化转化机制和市场化补偿机制。</w:t>
      </w:r>
    </w:p>
    <w:p>
      <w:pPr>
        <w:keepNext/>
        <w:keepLines/>
        <w:ind w:firstLine="643"/>
        <w:outlineLvl w:val="1"/>
        <w:rPr>
          <w:rFonts w:ascii="楷体" w:hAnsi="楷体" w:eastAsia="楷体" w:cs="Times New Roman"/>
          <w:b/>
          <w:bCs/>
          <w:szCs w:val="32"/>
        </w:rPr>
      </w:pPr>
      <w:bookmarkStart w:id="109" w:name="_Toc48224408"/>
      <w:r>
        <w:rPr>
          <w:rFonts w:hint="eastAsia" w:ascii="楷体" w:hAnsi="楷体" w:eastAsia="楷体" w:cs="Times New Roman"/>
          <w:b/>
          <w:bCs/>
          <w:szCs w:val="32"/>
        </w:rPr>
        <w:t>二、</w:t>
      </w:r>
      <w:bookmarkStart w:id="110" w:name="_Hlk43301155"/>
      <w:r>
        <w:rPr>
          <w:rFonts w:hint="eastAsia" w:ascii="楷体" w:hAnsi="楷体" w:eastAsia="楷体" w:cs="Times New Roman"/>
          <w:b/>
          <w:bCs/>
          <w:szCs w:val="32"/>
        </w:rPr>
        <w:t>深化源头防控构建绿色生产体系</w:t>
      </w:r>
      <w:bookmarkEnd w:id="109"/>
      <w:bookmarkEnd w:id="110"/>
    </w:p>
    <w:p>
      <w:pPr>
        <w:ind w:left="160" w:leftChars="50" w:firstLine="624"/>
        <w:rPr>
          <w:rFonts w:ascii="楷体" w:hAnsi="楷体" w:eastAsia="楷体" w:cs="Times New Roman"/>
          <w:b/>
          <w:bCs/>
          <w:szCs w:val="32"/>
        </w:rPr>
      </w:pPr>
      <w:r>
        <w:rPr>
          <w:rFonts w:hint="eastAsia" w:ascii="仿宋_GB2312" w:cs="Times New Roman"/>
          <w:spacing w:val="-4"/>
          <w:kern w:val="0"/>
        </w:rPr>
        <w:t>针对东丽区目前末端出发污染治理已到瓶颈的问题，以调结构、强产业、全链条为导向，重点推进构建绿色产业体系、全面推行清洁生产</w:t>
      </w:r>
      <w:r>
        <w:rPr>
          <w:rFonts w:ascii="仿宋_GB2312" w:cs="Times New Roman"/>
          <w:spacing w:val="-4"/>
          <w:kern w:val="0"/>
        </w:rPr>
        <w:t>、</w:t>
      </w:r>
      <w:r>
        <w:rPr>
          <w:rFonts w:hint="eastAsia" w:ascii="仿宋_GB2312" w:cs="Times New Roman"/>
          <w:spacing w:val="-4"/>
          <w:kern w:val="0"/>
        </w:rPr>
        <w:t>统筹布局生态产业等工作，构建低碳、节能、高效的绿色生产体系，从源头防治环境污染。</w:t>
      </w:r>
    </w:p>
    <w:p>
      <w:pPr>
        <w:ind w:left="160" w:leftChars="50" w:firstLine="627"/>
        <w:rPr>
          <w:rFonts w:ascii="仿宋_GB2312" w:cs="Times New Roman"/>
          <w:bCs/>
          <w:spacing w:val="-4"/>
          <w:kern w:val="0"/>
        </w:rPr>
      </w:pPr>
      <w:r>
        <w:rPr>
          <w:rFonts w:hint="eastAsia" w:ascii="仿宋_GB2312" w:cs="Times New Roman"/>
          <w:b/>
          <w:spacing w:val="-4"/>
          <w:kern w:val="0"/>
        </w:rPr>
        <w:t>构建低碳、节能、高效绿色产业体系。</w:t>
      </w:r>
      <w:r>
        <w:rPr>
          <w:rFonts w:hint="eastAsia" w:ascii="仿宋_GB2312" w:cs="Times New Roman"/>
          <w:bCs/>
          <w:spacing w:val="-4"/>
          <w:kern w:val="0"/>
        </w:rPr>
        <w:t>以调结构、优布局、全链条为导向，全面构建绿色生产体系，实现环境污染源头防治。优化国土空间开发布局与区域流域产业布局，严格环境准入制度，严守生态保护红线，倒逼产业转型升级。调整产业结构与能源结构，推进传统工业、农业绿色化改造，持续开展淘汰落后产能和“散乱污”治理行动，推动传统能源安全绿色开发与清洁能源、可再生能源利用。推进资源全面节约和循环利用，降低工业、农业生产物耗与能耗，开展绿色设计和绿色供应链建设，推进绿色工厂和绿色园区建设。到</w:t>
      </w:r>
      <w:r>
        <w:rPr>
          <w:rFonts w:cs="Times New Roman"/>
          <w:bCs/>
          <w:spacing w:val="-4"/>
          <w:kern w:val="0"/>
        </w:rPr>
        <w:t>2025</w:t>
      </w:r>
      <w:r>
        <w:rPr>
          <w:rFonts w:hint="eastAsia" w:ascii="仿宋_GB2312" w:cs="Times New Roman"/>
          <w:bCs/>
          <w:spacing w:val="-4"/>
          <w:kern w:val="0"/>
        </w:rPr>
        <w:t>年，初步形成绿色产业体系，单位产值能耗大幅下降。</w:t>
      </w:r>
    </w:p>
    <w:p>
      <w:pPr>
        <w:ind w:left="160" w:leftChars="50" w:firstLine="627"/>
        <w:rPr>
          <w:rFonts w:ascii="仿宋_GB2312" w:cs="Times New Roman"/>
          <w:bCs/>
          <w:spacing w:val="-4"/>
          <w:kern w:val="0"/>
        </w:rPr>
      </w:pPr>
      <w:bookmarkStart w:id="111" w:name="_Hlk46155302"/>
      <w:r>
        <w:rPr>
          <w:rFonts w:hint="eastAsia" w:ascii="仿宋_GB2312" w:cs="Times New Roman"/>
          <w:b/>
          <w:spacing w:val="-4"/>
          <w:kern w:val="0"/>
        </w:rPr>
        <w:t>全面统筹生态资源适度布局生态产业</w:t>
      </w:r>
      <w:bookmarkEnd w:id="111"/>
      <w:r>
        <w:rPr>
          <w:rFonts w:hint="eastAsia" w:ascii="仿宋_GB2312" w:cs="Times New Roman"/>
          <w:b/>
          <w:spacing w:val="-4"/>
          <w:kern w:val="0"/>
        </w:rPr>
        <w:t>。</w:t>
      </w:r>
      <w:r>
        <w:rPr>
          <w:rFonts w:hint="eastAsia" w:ascii="仿宋_GB2312" w:cs="Times New Roman"/>
          <w:bCs/>
          <w:spacing w:val="-4"/>
          <w:kern w:val="0"/>
        </w:rPr>
        <w:t>落实国家乡村振兴战略要求，紧抓产业融合契机，统筹东丽生态资源及农业生产、农耕文化资源，发展生态经济</w:t>
      </w:r>
      <w:bookmarkStart w:id="112" w:name="_Hlk46155396"/>
      <w:r>
        <w:rPr>
          <w:rFonts w:hint="eastAsia" w:ascii="仿宋_GB2312" w:cs="Times New Roman"/>
          <w:bCs/>
          <w:spacing w:val="-4"/>
          <w:kern w:val="0"/>
        </w:rPr>
        <w:t>。布局都市型现代生态农业，推进云计算、物联网、大数据等技术在农业领域集成运用，发展有机、绿色、无公害农业，加强重要农产品供给，保障农产品质量安全，打造东丽生态农业品牌。</w:t>
      </w:r>
      <w:bookmarkEnd w:id="112"/>
      <w:r>
        <w:rPr>
          <w:rFonts w:hint="eastAsia" w:ascii="仿宋_GB2312" w:cs="Times New Roman"/>
          <w:bCs/>
          <w:spacing w:val="-4"/>
          <w:kern w:val="0"/>
        </w:rPr>
        <w:t>建设智慧农旅体验区，以东丽湖与赤土生态湿地等生态资源为核心，以胡张庄田园综合体、海河生态绿芯等重点项目为支撑，推进生态农旅与信息化、物联网等新技术结合，打造集体验、观光、研学、康养为一体的都市型生态农业旅游目的地。</w:t>
      </w:r>
    </w:p>
    <w:p>
      <w:pPr>
        <w:keepNext/>
        <w:keepLines/>
        <w:ind w:firstLine="643"/>
        <w:outlineLvl w:val="1"/>
        <w:rPr>
          <w:rFonts w:ascii="楷体" w:hAnsi="楷体" w:eastAsia="楷体" w:cs="Times New Roman"/>
          <w:b/>
          <w:bCs/>
          <w:szCs w:val="32"/>
        </w:rPr>
      </w:pPr>
      <w:bookmarkStart w:id="113" w:name="_Toc48224409"/>
      <w:r>
        <w:rPr>
          <w:rFonts w:hint="eastAsia" w:ascii="楷体" w:hAnsi="楷体" w:eastAsia="楷体" w:cs="Times New Roman"/>
          <w:b/>
          <w:bCs/>
          <w:szCs w:val="32"/>
        </w:rPr>
        <w:t>三、弘扬生态文化培育绿色生活方式</w:t>
      </w:r>
      <w:bookmarkEnd w:id="113"/>
    </w:p>
    <w:p>
      <w:pPr>
        <w:ind w:left="160" w:leftChars="50" w:firstLine="624"/>
        <w:rPr>
          <w:rFonts w:ascii="楷体" w:hAnsi="楷体" w:eastAsia="楷体" w:cs="Times New Roman"/>
          <w:b/>
          <w:bCs/>
          <w:szCs w:val="32"/>
        </w:rPr>
      </w:pPr>
      <w:r>
        <w:rPr>
          <w:rFonts w:hint="eastAsia" w:ascii="仿宋_GB2312" w:cs="Times New Roman"/>
          <w:spacing w:val="-4"/>
          <w:kern w:val="0"/>
        </w:rPr>
        <w:t>以培育生态文化为主线，倡导简约适度、绿色低碳的生活方式，推进资源全面节约和循环利用，全面提升居民生态意识与生态行为方式，支撑生态文明建设。</w:t>
      </w:r>
    </w:p>
    <w:p>
      <w:pPr>
        <w:ind w:left="160" w:leftChars="50" w:firstLine="627"/>
        <w:rPr>
          <w:rFonts w:ascii="仿宋_GB2312" w:cs="Times New Roman"/>
          <w:bCs/>
          <w:spacing w:val="-4"/>
          <w:kern w:val="0"/>
        </w:rPr>
      </w:pPr>
      <w:bookmarkStart w:id="114" w:name="_Hlk43301226"/>
      <w:r>
        <w:rPr>
          <w:rFonts w:hint="eastAsia" w:ascii="仿宋_GB2312" w:cs="Times New Roman"/>
          <w:b/>
          <w:spacing w:val="-4"/>
          <w:kern w:val="0"/>
        </w:rPr>
        <w:t>倡导简约适度、绿色低碳的生活理念</w:t>
      </w:r>
      <w:bookmarkEnd w:id="114"/>
      <w:r>
        <w:rPr>
          <w:rFonts w:hint="eastAsia" w:ascii="仿宋_GB2312" w:cs="Times New Roman"/>
          <w:b/>
          <w:spacing w:val="-4"/>
          <w:kern w:val="0"/>
        </w:rPr>
        <w:t>。</w:t>
      </w:r>
      <w:r>
        <w:rPr>
          <w:rFonts w:hint="eastAsia" w:ascii="仿宋_GB2312" w:cs="Times New Roman"/>
          <w:spacing w:val="-4"/>
          <w:kern w:val="0"/>
        </w:rPr>
        <w:t>以</w:t>
      </w:r>
      <w:r>
        <w:rPr>
          <w:rFonts w:hint="eastAsia" w:ascii="仿宋_GB2312" w:cs="Times New Roman"/>
          <w:bCs/>
          <w:spacing w:val="-4"/>
          <w:kern w:val="0"/>
        </w:rPr>
        <w:t>绿色低碳、循环发展为导向，全面推进资源节约和循环利用，转变“大量生产、大量消费、大量废弃”的传统生产消费模式。落实绿色环保生活理念，反对奢侈浪费和不合理消费，树立正确价值观、生活观、消费观。创新绿色生活方式，扩大可降解塑料等环境友好材料在居民生活中的应用范围，支持发展共享经济、推广绿色出行，通过生活方式绿色革命，倒逼生产方式绿色转型。加大绿色生活宣传力度，广泛开展节约型机关、绿色家庭、绿色学校、绿色社区创建活动。到</w:t>
      </w:r>
      <w:r>
        <w:rPr>
          <w:rFonts w:cs="Times New Roman"/>
          <w:bCs/>
          <w:spacing w:val="-4"/>
          <w:kern w:val="0"/>
        </w:rPr>
        <w:t>2025</w:t>
      </w:r>
      <w:r>
        <w:rPr>
          <w:rFonts w:hint="eastAsia" w:ascii="仿宋_GB2312" w:cs="Times New Roman"/>
          <w:bCs/>
          <w:spacing w:val="-4"/>
          <w:kern w:val="0"/>
        </w:rPr>
        <w:t>年，初步建成节约型社会。</w:t>
      </w:r>
    </w:p>
    <w:p>
      <w:pPr>
        <w:ind w:left="160" w:leftChars="50" w:firstLine="627"/>
        <w:rPr>
          <w:rFonts w:ascii="仿宋_GB2312" w:cs="Times New Roman"/>
          <w:bCs/>
          <w:spacing w:val="-4"/>
          <w:kern w:val="0"/>
        </w:rPr>
      </w:pPr>
      <w:r>
        <w:rPr>
          <w:rFonts w:hint="eastAsia" w:ascii="仿宋_GB2312" w:cs="Times New Roman"/>
          <w:b/>
          <w:spacing w:val="-4"/>
          <w:kern w:val="0"/>
        </w:rPr>
        <w:t>鼓励全流程创新、</w:t>
      </w:r>
      <w:bookmarkStart w:id="115" w:name="_Hlk43301235"/>
      <w:r>
        <w:rPr>
          <w:rFonts w:hint="eastAsia" w:ascii="仿宋_GB2312" w:cs="Times New Roman"/>
          <w:b/>
          <w:spacing w:val="-4"/>
          <w:kern w:val="0"/>
        </w:rPr>
        <w:t>健全垃圾分类处理体系</w:t>
      </w:r>
      <w:bookmarkEnd w:id="115"/>
      <w:r>
        <w:rPr>
          <w:rFonts w:hint="eastAsia" w:ascii="仿宋_GB2312" w:cs="Times New Roman"/>
          <w:b/>
          <w:spacing w:val="-4"/>
          <w:kern w:val="0"/>
        </w:rPr>
        <w:t>。</w:t>
      </w:r>
      <w:r>
        <w:rPr>
          <w:rFonts w:hint="eastAsia" w:ascii="仿宋_GB2312" w:cs="Times New Roman"/>
          <w:spacing w:val="-4"/>
          <w:kern w:val="0"/>
        </w:rPr>
        <w:t>以保障城市生态安全、支撑社会文明建设为导向，</w:t>
      </w:r>
      <w:r>
        <w:rPr>
          <w:rFonts w:hint="eastAsia" w:ascii="仿宋_GB2312" w:cs="Times New Roman"/>
          <w:bCs/>
          <w:spacing w:val="-4"/>
          <w:kern w:val="0"/>
        </w:rPr>
        <w:t>建立健全垃圾分类处理体系，推进垃圾源头大幅减量、充分资源化利用和安全处置。全面完善生活垃圾强制分类处理体系，明确生活垃圾分类标准，实现垃圾分类投放、分类收集、分类运输、分类处理，提升垃圾处理设施处理能力。推动垃圾源头减量与资源化利用，推广使用可循环利用物品，建设资源循环利用基地，推广可回收物利用、焚烧发电、生物处理等垃圾资源化利用方式。到</w:t>
      </w:r>
      <w:r>
        <w:rPr>
          <w:rFonts w:ascii="仿宋_GB2312" w:cs="Times New Roman"/>
          <w:bCs/>
          <w:spacing w:val="-4"/>
          <w:kern w:val="0"/>
        </w:rPr>
        <w:t xml:space="preserve"> 2025 </w:t>
      </w:r>
      <w:r>
        <w:rPr>
          <w:rFonts w:hint="eastAsia" w:ascii="仿宋_GB2312" w:cs="Times New Roman"/>
          <w:bCs/>
          <w:spacing w:val="-4"/>
          <w:kern w:val="0"/>
        </w:rPr>
        <w:t>年，生活垃圾资源化利用率达到国家领先水平，生活垃圾无害化处理率保持</w:t>
      </w:r>
      <w:r>
        <w:rPr>
          <w:rFonts w:ascii="仿宋_GB2312" w:cs="Times New Roman"/>
          <w:bCs/>
          <w:spacing w:val="-4"/>
          <w:kern w:val="0"/>
        </w:rPr>
        <w:t xml:space="preserve"> </w:t>
      </w:r>
      <w:r>
        <w:rPr>
          <w:rFonts w:hint="eastAsia" w:ascii="仿宋_GB2312" w:cs="Times New Roman"/>
          <w:bCs/>
          <w:spacing w:val="-4"/>
          <w:kern w:val="0"/>
        </w:rPr>
        <w:t>100%，</w:t>
      </w:r>
      <w:r>
        <w:rPr>
          <w:rFonts w:ascii="仿宋_GB2312" w:hAnsi="宋体" w:cs="宋体"/>
          <w:bCs/>
          <w:spacing w:val="-4"/>
          <w:kern w:val="0"/>
        </w:rPr>
        <w:t>初步</w:t>
      </w:r>
      <w:r>
        <w:rPr>
          <w:rFonts w:hint="eastAsia" w:ascii="仿宋_GB2312" w:cs="Times New Roman"/>
          <w:bCs/>
          <w:spacing w:val="-4"/>
          <w:kern w:val="0"/>
        </w:rPr>
        <w:t>建成“无废城市”。</w:t>
      </w:r>
    </w:p>
    <w:p>
      <w:pPr>
        <w:keepNext/>
        <w:keepLines/>
        <w:ind w:firstLine="643"/>
        <w:outlineLvl w:val="1"/>
        <w:rPr>
          <w:rFonts w:ascii="楷体" w:hAnsi="楷体" w:eastAsia="楷体" w:cs="Times New Roman"/>
          <w:b/>
          <w:bCs/>
          <w:szCs w:val="32"/>
        </w:rPr>
      </w:pPr>
      <w:bookmarkStart w:id="116" w:name="_Toc48224410"/>
      <w:r>
        <w:rPr>
          <w:rFonts w:hint="eastAsia" w:ascii="楷体" w:hAnsi="楷体" w:eastAsia="楷体" w:cs="Times New Roman"/>
          <w:b/>
          <w:bCs/>
          <w:szCs w:val="32"/>
        </w:rPr>
        <w:t>四、坚持铁腕治污严防严控环境污染</w:t>
      </w:r>
      <w:bookmarkEnd w:id="116"/>
    </w:p>
    <w:p>
      <w:pPr>
        <w:ind w:left="160" w:leftChars="50" w:firstLine="640"/>
        <w:rPr>
          <w:rFonts w:ascii="楷体" w:hAnsi="楷体" w:eastAsia="楷体" w:cs="Times New Roman"/>
          <w:b/>
          <w:bCs/>
          <w:szCs w:val="32"/>
        </w:rPr>
      </w:pPr>
      <w:r>
        <w:rPr>
          <w:rFonts w:hint="eastAsia"/>
          <w:shd w:val="clear" w:color="auto" w:fill="FFFFFF"/>
        </w:rPr>
        <w:t>积极应对当前环境污染治理压力叠加、负重前行的严峻形势，深刻认识人民群众日益增长的优美生态环境需求，打好</w:t>
      </w:r>
      <w:r>
        <w:rPr>
          <w:rFonts w:ascii="仿宋_GB2312" w:hAnsi="宋体" w:cs="宋体"/>
          <w:spacing w:val="-4"/>
          <w:kern w:val="0"/>
        </w:rPr>
        <w:t>蓝天、碧水、净土</w:t>
      </w:r>
      <w:r>
        <w:rPr>
          <w:rFonts w:hint="eastAsia" w:ascii="仿宋_GB2312" w:hAnsi="宋体" w:cs="宋体"/>
          <w:spacing w:val="-4"/>
          <w:kern w:val="0"/>
        </w:rPr>
        <w:t>攻坚</w:t>
      </w:r>
      <w:r>
        <w:rPr>
          <w:rFonts w:ascii="仿宋_GB2312" w:hAnsi="宋体" w:cs="宋体"/>
          <w:spacing w:val="-4"/>
          <w:kern w:val="0"/>
        </w:rPr>
        <w:t>工程，</w:t>
      </w:r>
      <w:r>
        <w:rPr>
          <w:rFonts w:hint="eastAsia"/>
          <w:shd w:val="clear" w:color="auto" w:fill="FFFFFF"/>
        </w:rPr>
        <w:t>坚持加大力度、加快治理、加紧攻坚，</w:t>
      </w:r>
      <w:r>
        <w:rPr>
          <w:rFonts w:hint="eastAsia" w:ascii="仿宋_GB2312" w:hAnsi="宋体" w:cs="宋体"/>
          <w:spacing w:val="-4"/>
          <w:kern w:val="0"/>
        </w:rPr>
        <w:t>为人民创造良好生产生活环境。</w:t>
      </w:r>
    </w:p>
    <w:p>
      <w:pPr>
        <w:ind w:left="160" w:leftChars="50" w:firstLine="627"/>
        <w:rPr>
          <w:rFonts w:ascii="仿宋_GB2312" w:cs="Times New Roman"/>
          <w:bCs/>
          <w:spacing w:val="-4"/>
          <w:kern w:val="0"/>
        </w:rPr>
      </w:pPr>
      <w:r>
        <w:rPr>
          <w:rFonts w:hint="eastAsia" w:ascii="仿宋_GB2312" w:hAnsi="宋体" w:cs="宋体"/>
          <w:b/>
          <w:spacing w:val="-4"/>
          <w:kern w:val="0"/>
        </w:rPr>
        <w:t>聚焦重点领域加</w:t>
      </w:r>
      <w:r>
        <w:rPr>
          <w:rFonts w:hint="eastAsia" w:ascii="仿宋_GB2312" w:cs="Times New Roman"/>
          <w:b/>
          <w:spacing w:val="-4"/>
          <w:kern w:val="0"/>
        </w:rPr>
        <w:t>强大气污染防治。</w:t>
      </w:r>
      <w:r>
        <w:rPr>
          <w:rFonts w:hint="eastAsia" w:ascii="仿宋_GB2312" w:cs="Times New Roman"/>
          <w:bCs/>
          <w:spacing w:val="-4"/>
          <w:kern w:val="0"/>
        </w:rPr>
        <w:t>坚持全民共治、源头防治，打好蓝天保卫战，严格管控燃煤、工业、扬尘和机动车等污染物排放，改善大气环境质量，明显增强人民群众蓝天幸福感。严格管控燃煤污染，扩大高污染燃料禁燃区划定范围，强化超低排放动态监管，落实优质煤供应和保障。严格管控工业大气污染，深化工业大气污染源排污许可管理与工业企业无组织排放管理，持续推进对钢铁、焦化、铸造等重点行业的深度治理。严格管控扬尘等面源污染，强化施工扬尘管控，持续做好秸秆综合利用和禁烧工作，落实烟花爆竹禁放规定。严格管控机动车污染，落实《国家第六阶段机动车污染物排放标准》，严格管控、严厉查处超标排放行为，强化老旧车辆淘汰与新车源头管控。到</w:t>
      </w:r>
      <w:r>
        <w:rPr>
          <w:rFonts w:cs="Times New Roman"/>
          <w:bCs/>
          <w:spacing w:val="-4"/>
          <w:kern w:val="0"/>
        </w:rPr>
        <w:t>2025</w:t>
      </w:r>
      <w:r>
        <w:rPr>
          <w:rFonts w:hint="eastAsia" w:ascii="仿宋_GB2312" w:cs="Times New Roman"/>
          <w:bCs/>
          <w:spacing w:val="-4"/>
          <w:kern w:val="0"/>
        </w:rPr>
        <w:t>年，实现</w:t>
      </w:r>
      <w:r>
        <w:rPr>
          <w:rFonts w:cs="Times New Roman"/>
          <w:bCs/>
          <w:spacing w:val="-4"/>
          <w:kern w:val="0"/>
        </w:rPr>
        <w:t>PM</w:t>
      </w:r>
      <w:r>
        <w:rPr>
          <w:rFonts w:cs="Times New Roman"/>
          <w:bCs/>
          <w:spacing w:val="-4"/>
          <w:kern w:val="0"/>
          <w:vertAlign w:val="subscript"/>
        </w:rPr>
        <w:t>2</w:t>
      </w:r>
      <w:r>
        <w:rPr>
          <w:rFonts w:ascii="仿宋_GB2312" w:cs="Times New Roman"/>
          <w:bCs/>
          <w:spacing w:val="-4"/>
          <w:kern w:val="0"/>
          <w:vertAlign w:val="subscript"/>
        </w:rPr>
        <w:t>.</w:t>
      </w:r>
      <w:r>
        <w:rPr>
          <w:rFonts w:cs="Times New Roman"/>
          <w:bCs/>
          <w:spacing w:val="-4"/>
          <w:kern w:val="0"/>
          <w:vertAlign w:val="subscript"/>
        </w:rPr>
        <w:t>5</w:t>
      </w:r>
      <w:r>
        <w:rPr>
          <w:rFonts w:hint="eastAsia" w:ascii="仿宋_GB2312" w:cs="Times New Roman"/>
          <w:bCs/>
          <w:spacing w:val="-4"/>
          <w:kern w:val="0"/>
        </w:rPr>
        <w:t>年均浓度维持在</w:t>
      </w:r>
      <w:r>
        <w:rPr>
          <w:rFonts w:cs="Times New Roman"/>
          <w:bCs/>
          <w:spacing w:val="-4"/>
          <w:kern w:val="0"/>
        </w:rPr>
        <w:t>50</w:t>
      </w:r>
      <w:r>
        <w:rPr>
          <w:rFonts w:hint="eastAsia" w:ascii="仿宋_GB2312" w:cs="Times New Roman"/>
          <w:bCs/>
          <w:spacing w:val="-4"/>
          <w:kern w:val="0"/>
        </w:rPr>
        <w:t>微克/立方米以下的目标。</w:t>
      </w:r>
    </w:p>
    <w:p>
      <w:pPr>
        <w:spacing w:line="540" w:lineRule="exact"/>
        <w:ind w:left="160" w:leftChars="50" w:firstLine="627"/>
        <w:rPr>
          <w:rFonts w:ascii="仿宋_GB2312" w:cs="Times New Roman"/>
          <w:bCs/>
          <w:spacing w:val="-4"/>
          <w:kern w:val="0"/>
        </w:rPr>
      </w:pPr>
      <w:r>
        <w:rPr>
          <w:rFonts w:hint="eastAsia" w:ascii="仿宋_GB2312" w:cs="Times New Roman"/>
          <w:b/>
          <w:spacing w:val="-4"/>
          <w:kern w:val="0"/>
        </w:rPr>
        <w:t>减排扩容两手发力加强水污染防治。</w:t>
      </w:r>
      <w:r>
        <w:rPr>
          <w:rFonts w:hint="eastAsia" w:ascii="仿宋_GB2312" w:cs="Times New Roman"/>
          <w:bCs/>
          <w:spacing w:val="-4"/>
          <w:kern w:val="0"/>
        </w:rPr>
        <w:t>深入推进水污染防治行动计划，坚持污染减排和生态扩容两手发力，加快工业、农业、生活污染源和水生态系统整治，大幅提升水环境质量。深化工业水污染治理，强化工业集聚区水污染集中治理，落实污染源排污许可管理。强化农业与生活污水治理，加快生活污水处理设施建设，完成雨污分流改造，加强城市面源与农业面源水污染防治。实施流域系统治理，强化入河排污口门治理，推进重点河流污染治理与生态净化修复，提升流域水生态环境。到</w:t>
      </w:r>
      <w:r>
        <w:rPr>
          <w:rFonts w:cs="Times New Roman"/>
          <w:bCs/>
          <w:spacing w:val="-4"/>
          <w:kern w:val="0"/>
        </w:rPr>
        <w:t>2025</w:t>
      </w:r>
      <w:r>
        <w:rPr>
          <w:rFonts w:hint="eastAsia" w:ascii="仿宋_GB2312" w:cs="Times New Roman"/>
          <w:bCs/>
          <w:spacing w:val="-4"/>
          <w:kern w:val="0"/>
        </w:rPr>
        <w:t>年，城市污水集中处理率达到</w:t>
      </w:r>
      <w:r>
        <w:rPr>
          <w:rFonts w:cs="Times New Roman"/>
          <w:bCs/>
          <w:spacing w:val="-4"/>
          <w:kern w:val="0"/>
        </w:rPr>
        <w:t>90</w:t>
      </w:r>
      <w:r>
        <w:rPr>
          <w:rFonts w:hint="eastAsia" w:ascii="仿宋_GB2312" w:cs="Times New Roman"/>
          <w:bCs/>
          <w:spacing w:val="-4"/>
          <w:kern w:val="0"/>
        </w:rPr>
        <w:t>%，水环境质量达到天津市要求。</w:t>
      </w:r>
    </w:p>
    <w:p>
      <w:pPr>
        <w:spacing w:line="540" w:lineRule="exact"/>
        <w:ind w:left="160" w:leftChars="50" w:firstLine="627"/>
        <w:rPr>
          <w:rFonts w:ascii="仿宋_GB2312" w:cs="Times New Roman"/>
          <w:bCs/>
          <w:spacing w:val="-4"/>
          <w:kern w:val="0"/>
        </w:rPr>
      </w:pPr>
      <w:bookmarkStart w:id="117" w:name="_Hlk46090431"/>
      <w:r>
        <w:rPr>
          <w:rFonts w:hint="eastAsia" w:ascii="仿宋_GB2312" w:cs="Times New Roman"/>
          <w:b/>
          <w:spacing w:val="-4"/>
          <w:kern w:val="0"/>
        </w:rPr>
        <w:t>从严治理深化土壤污染管控</w:t>
      </w:r>
      <w:bookmarkEnd w:id="117"/>
      <w:r>
        <w:rPr>
          <w:rFonts w:hint="eastAsia" w:ascii="仿宋_GB2312" w:cs="Times New Roman"/>
          <w:b/>
          <w:spacing w:val="-4"/>
          <w:kern w:val="0"/>
        </w:rPr>
        <w:t>。</w:t>
      </w:r>
      <w:bookmarkStart w:id="118" w:name="_Hlk46090441"/>
      <w:r>
        <w:rPr>
          <w:rFonts w:hint="eastAsia" w:ascii="仿宋_GB2312" w:cs="Times New Roman"/>
          <w:bCs/>
          <w:spacing w:val="-4"/>
          <w:kern w:val="0"/>
        </w:rPr>
        <w:t>加强农产品质量安全管理</w:t>
      </w:r>
      <w:bookmarkEnd w:id="118"/>
      <w:r>
        <w:rPr>
          <w:rFonts w:hint="eastAsia" w:ascii="仿宋_GB2312" w:cs="Times New Roman"/>
          <w:bCs/>
          <w:spacing w:val="-4"/>
          <w:kern w:val="0"/>
        </w:rPr>
        <w:t>和人居环境安全建设，以改善土壤环境质量为核心，坚持预防为主、保护优先、风险管控，提升土壤资源可持续利用水平。有序开展污染治理与修复，深入排查土壤地块污染情况，建立信息化土壤环境质量监测体系，依托土壤环境大数据推进土壤污染防治工作。实施农用地分类管理与建设用地准入管理，完善分类管理与准入评估制度，建立污染地块名录及开发利用负面清单。加强污染源监管，深化工业固体废物、重金属污染与农业污染防治，严厉打击危险废物破坏环境违法行为，实现土壤污染源头控制。到</w:t>
      </w:r>
      <w:r>
        <w:rPr>
          <w:rFonts w:cs="Times New Roman"/>
          <w:bCs/>
          <w:spacing w:val="-4"/>
          <w:kern w:val="0"/>
        </w:rPr>
        <w:t>2025</w:t>
      </w:r>
      <w:r>
        <w:rPr>
          <w:rFonts w:hint="eastAsia" w:ascii="仿宋_GB2312" w:cs="Times New Roman"/>
          <w:bCs/>
          <w:spacing w:val="-4"/>
          <w:kern w:val="0"/>
        </w:rPr>
        <w:t>年，土壤环境显著改善，固体废物生产量显著下降。</w:t>
      </w:r>
      <w:bookmarkEnd w:id="57"/>
      <w:r>
        <w:rPr>
          <w:rFonts w:ascii="仿宋_GB2312" w:cs="Times New Roman"/>
          <w:bCs/>
          <w:spacing w:val="-4"/>
          <w:kern w:val="0"/>
        </w:rPr>
        <w:br w:type="page"/>
      </w:r>
    </w:p>
    <w:p>
      <w:pPr>
        <w:keepNext/>
        <w:keepLines/>
        <w:tabs>
          <w:tab w:val="left" w:pos="6237"/>
        </w:tabs>
        <w:adjustRightInd w:val="0"/>
        <w:ind w:firstLine="0" w:firstLineChars="0"/>
        <w:jc w:val="center"/>
        <w:textAlignment w:val="baseline"/>
        <w:outlineLvl w:val="0"/>
        <w:rPr>
          <w:rFonts w:ascii="黑体" w:hAnsi="黑体" w:eastAsia="黑体" w:cs="Times New Roman"/>
          <w:b/>
          <w:spacing w:val="-4"/>
          <w:kern w:val="44"/>
          <w:sz w:val="36"/>
          <w:szCs w:val="36"/>
        </w:rPr>
      </w:pPr>
      <w:bookmarkStart w:id="119" w:name="_Toc37662914"/>
      <w:bookmarkStart w:id="120" w:name="_Toc48224411"/>
      <w:r>
        <w:rPr>
          <w:rFonts w:hint="eastAsia" w:ascii="黑体" w:hAnsi="黑体" w:eastAsia="黑体" w:cs="Times New Roman"/>
          <w:b/>
          <w:spacing w:val="-4"/>
          <w:kern w:val="44"/>
          <w:sz w:val="36"/>
          <w:szCs w:val="36"/>
        </w:rPr>
        <w:t>第八章</w:t>
      </w:r>
      <w:r>
        <w:rPr>
          <w:rFonts w:ascii="黑体" w:hAnsi="黑体" w:eastAsia="黑体" w:cs="Times New Roman"/>
          <w:b/>
          <w:spacing w:val="-4"/>
          <w:kern w:val="44"/>
          <w:sz w:val="36"/>
          <w:szCs w:val="36"/>
        </w:rPr>
        <w:t xml:space="preserve"> </w:t>
      </w:r>
      <w:bookmarkEnd w:id="119"/>
      <w:r>
        <w:rPr>
          <w:rFonts w:hint="eastAsia" w:ascii="黑体" w:hAnsi="黑体" w:eastAsia="黑体" w:cs="Times New Roman"/>
          <w:b/>
          <w:spacing w:val="-4"/>
          <w:kern w:val="44"/>
          <w:sz w:val="36"/>
          <w:szCs w:val="36"/>
        </w:rPr>
        <w:t>改革开放，增强区域发展活力</w:t>
      </w:r>
      <w:bookmarkEnd w:id="120"/>
    </w:p>
    <w:p>
      <w:pPr>
        <w:adjustRightInd w:val="0"/>
        <w:ind w:firstLine="624"/>
        <w:textAlignment w:val="baseline"/>
        <w:rPr>
          <w:rFonts w:ascii="仿宋_GB2312" w:cs="Times New Roman"/>
          <w:bCs/>
          <w:spacing w:val="-4"/>
          <w:kern w:val="0"/>
        </w:rPr>
      </w:pPr>
      <w:r>
        <w:rPr>
          <w:rFonts w:hint="eastAsia" w:ascii="仿宋_GB2312" w:cs="Times New Roman"/>
          <w:bCs/>
          <w:spacing w:val="-4"/>
          <w:kern w:val="0"/>
        </w:rPr>
        <w:t>聚焦“一基地三区”定位要求，全面推进东丽区深化改革开放。向改革要动力，破解制约</w:t>
      </w:r>
      <w:r>
        <w:rPr>
          <w:rFonts w:hint="eastAsia" w:ascii="仿宋_GB2312" w:hAnsi="宋体" w:cs="宋体"/>
          <w:bCs/>
          <w:spacing w:val="-4"/>
          <w:kern w:val="0"/>
        </w:rPr>
        <w:t>东丽经济社会发展的瓶颈问题，打</w:t>
      </w:r>
      <w:bookmarkStart w:id="121" w:name="_Hlk43051425"/>
      <w:r>
        <w:rPr>
          <w:rFonts w:hint="eastAsia" w:ascii="仿宋_GB2312" w:hAnsi="宋体" w:cs="宋体"/>
          <w:bCs/>
          <w:spacing w:val="-4"/>
          <w:kern w:val="0"/>
        </w:rPr>
        <w:t>造适应新经济、新动能需要的宜业宜商环境</w:t>
      </w:r>
      <w:bookmarkEnd w:id="121"/>
      <w:r>
        <w:rPr>
          <w:rFonts w:hint="eastAsia" w:ascii="仿宋_GB2312" w:hAnsi="宋体" w:cs="宋体"/>
          <w:bCs/>
          <w:spacing w:val="-4"/>
          <w:kern w:val="0"/>
        </w:rPr>
        <w:t>。向开放要活力，紧抓京津冀协同发展、“一带一路”重大国家战略机遇，</w:t>
      </w:r>
      <w:r>
        <w:rPr>
          <w:rFonts w:hint="eastAsia" w:ascii="仿宋_GB2312" w:cs="Times New Roman"/>
          <w:bCs/>
          <w:spacing w:val="-4"/>
          <w:kern w:val="0"/>
        </w:rPr>
        <w:t>与周边区域协同联动，全面融入天津市、京津冀、全国乃至全球发展格局，打造服务京津冀、链接海内外的重要枢纽节点。</w:t>
      </w:r>
    </w:p>
    <w:p>
      <w:pPr>
        <w:keepNext/>
        <w:keepLines/>
        <w:ind w:firstLine="643"/>
        <w:outlineLvl w:val="1"/>
        <w:rPr>
          <w:rFonts w:ascii="楷体" w:hAnsi="楷体" w:eastAsia="楷体" w:cs="Times New Roman"/>
          <w:b/>
          <w:bCs/>
          <w:szCs w:val="32"/>
        </w:rPr>
      </w:pPr>
      <w:bookmarkStart w:id="122" w:name="_Toc48224412"/>
      <w:r>
        <w:rPr>
          <w:rFonts w:hint="eastAsia" w:ascii="楷体" w:hAnsi="楷体" w:eastAsia="楷体" w:cs="Times New Roman"/>
          <w:b/>
          <w:bCs/>
          <w:szCs w:val="32"/>
        </w:rPr>
        <w:t>一、大力</w:t>
      </w:r>
      <w:bookmarkStart w:id="123" w:name="_Hlk43303340"/>
      <w:r>
        <w:rPr>
          <w:rFonts w:hint="eastAsia" w:ascii="楷体" w:hAnsi="楷体" w:eastAsia="楷体" w:cs="Times New Roman"/>
          <w:b/>
          <w:bCs/>
          <w:szCs w:val="32"/>
        </w:rPr>
        <w:t>建设人民满意的服务型政府</w:t>
      </w:r>
      <w:bookmarkEnd w:id="122"/>
      <w:bookmarkEnd w:id="123"/>
    </w:p>
    <w:p>
      <w:pPr>
        <w:ind w:firstLine="640"/>
        <w:rPr>
          <w:rFonts w:cs="Times New Roman"/>
        </w:rPr>
      </w:pPr>
      <w:bookmarkStart w:id="124" w:name="_Hlk46090058"/>
      <w:r>
        <w:rPr>
          <w:rFonts w:hint="eastAsia" w:cs="Times New Roman"/>
        </w:rPr>
        <w:t>围绕天津市高标准建设改革开放先行区战略目标，坚持向改革要活力，开展数字政府、“只进一扇门” 政务服务体系、新经济制度体系等重点工程建设工作，全面创新行政方式提升行政效能，提升政府经济管理服务水平激发市场主体活力，构建人民满意的服务型政府。</w:t>
      </w:r>
    </w:p>
    <w:p>
      <w:pPr>
        <w:ind w:firstLine="643"/>
        <w:rPr>
          <w:rFonts w:ascii="仿宋_GB2312" w:hAnsi="宋体" w:cs="宋体"/>
        </w:rPr>
      </w:pPr>
      <w:r>
        <w:rPr>
          <w:rFonts w:hint="eastAsia" w:cs="Times New Roman"/>
          <w:b/>
        </w:rPr>
        <w:t>提升政府行政管理服务能力</w:t>
      </w:r>
      <w:bookmarkEnd w:id="124"/>
      <w:r>
        <w:rPr>
          <w:rFonts w:hint="eastAsia" w:cs="Times New Roman"/>
          <w:b/>
        </w:rPr>
        <w:t>。</w:t>
      </w:r>
      <w:r>
        <w:rPr>
          <w:rFonts w:hint="eastAsia" w:cs="Times New Roman"/>
          <w:bCs/>
        </w:rPr>
        <w:t>以提升政府治理能力为导向，创新行政方式，提升政府行政效能</w:t>
      </w:r>
      <w:r>
        <w:rPr>
          <w:rFonts w:hint="eastAsia" w:ascii="仿宋_GB2312" w:cs="Times New Roman"/>
          <w:bCs/>
        </w:rPr>
        <w:t>。</w:t>
      </w:r>
      <w:r>
        <w:rPr>
          <w:rFonts w:hint="eastAsia" w:ascii="仿宋_GB2312" w:hAnsi="宋体" w:cs="宋体"/>
        </w:rPr>
        <w:t>制定委办局</w:t>
      </w:r>
      <w:r>
        <w:rPr>
          <w:rFonts w:ascii="仿宋_GB2312" w:hAnsi="宋体" w:cs="宋体"/>
        </w:rPr>
        <w:t>、</w:t>
      </w:r>
      <w:r>
        <w:rPr>
          <w:rFonts w:hint="eastAsia" w:ascii="仿宋_GB2312" w:hAnsi="宋体" w:cs="宋体"/>
        </w:rPr>
        <w:t>街道与园区权责清单，围绕城市管理、社会治理等重点领域合理区分街道与部门权责。推进数字政府建设，加强政务数据与社会数据的整合与开放，促进网络基础设施的互联互通和数据资源的共享共用。</w:t>
      </w:r>
      <w:bookmarkStart w:id="125" w:name="_Hlk46090037"/>
      <w:r>
        <w:rPr>
          <w:rFonts w:hint="eastAsia" w:ascii="仿宋_GB2312" w:hAnsi="宋体" w:cs="宋体"/>
        </w:rPr>
        <w:t>加强政府密码保密工作建设，提高政府工作人员保密素质，完善密码保密工作台账、规范操作制度。</w:t>
      </w:r>
      <w:bookmarkEnd w:id="125"/>
      <w:r>
        <w:rPr>
          <w:rFonts w:hint="eastAsia" w:ascii="仿宋_GB2312" w:hAnsi="宋体" w:cs="宋体"/>
        </w:rPr>
        <w:t>深化“一制三化”改革，建设区级政务服务中心，打造“只进一扇门”</w:t>
      </w:r>
      <w:r>
        <w:rPr>
          <w:rFonts w:ascii="仿宋_GB2312" w:hAnsi="宋体" w:cs="宋体"/>
        </w:rPr>
        <w:t xml:space="preserve"> 政务</w:t>
      </w:r>
      <w:r>
        <w:rPr>
          <w:rFonts w:hint="eastAsia" w:ascii="仿宋_GB2312" w:hAnsi="宋体" w:cs="宋体"/>
        </w:rPr>
        <w:t>服务体系，推进政务服务“一网通办”。持续优化营商环境，以评价指标为抓手，对标国际国内先进地区营商环境指标体系和政策举措，不断完善适应新经济、新动能发展需要的营商环境服务体系。推进依法治区建设，深化行政执法规范化建设、行政争议预防化解、重点领域政务信息公开等工作，坚持在法治框架内调整各类市场主体利益关系、完善基层治理体系，全面彰显法治政府形象。到</w:t>
      </w:r>
      <w:r>
        <w:rPr>
          <w:rFonts w:ascii="仿宋_GB2312" w:hAnsi="宋体" w:cs="宋体"/>
        </w:rPr>
        <w:t xml:space="preserve"> 2025 </w:t>
      </w:r>
      <w:r>
        <w:rPr>
          <w:rFonts w:hint="eastAsia" w:ascii="仿宋_GB2312" w:hAnsi="宋体" w:cs="宋体"/>
        </w:rPr>
        <w:t>年，实现政府行政效能全面提升，营商环境评价指数达到全国前列</w:t>
      </w:r>
      <w:r>
        <w:rPr>
          <w:rFonts w:ascii="仿宋_GB2312" w:hAnsi="宋体" w:cs="宋体"/>
        </w:rPr>
        <w:t>。</w:t>
      </w:r>
    </w:p>
    <w:p>
      <w:pPr>
        <w:ind w:firstLine="643"/>
        <w:rPr>
          <w:rFonts w:ascii="仿宋_GB2312" w:hAnsi="宋体" w:cs="宋体"/>
        </w:rPr>
      </w:pPr>
      <w:r>
        <w:rPr>
          <w:rFonts w:hint="eastAsia" w:ascii="仿宋_GB2312" w:hAnsi="宋体" w:cs="宋体"/>
          <w:b/>
        </w:rPr>
        <w:t>提高</w:t>
      </w:r>
      <w:r>
        <w:rPr>
          <w:rFonts w:ascii="仿宋_GB2312" w:hAnsi="宋体" w:cs="宋体"/>
          <w:b/>
        </w:rPr>
        <w:t>政府经济管理</w:t>
      </w:r>
      <w:r>
        <w:rPr>
          <w:rFonts w:hint="eastAsia" w:ascii="仿宋_GB2312" w:hAnsi="宋体" w:cs="宋体"/>
          <w:b/>
        </w:rPr>
        <w:t>服务水平</w:t>
      </w:r>
      <w:r>
        <w:rPr>
          <w:rFonts w:ascii="仿宋_GB2312" w:hAnsi="宋体" w:cs="宋体"/>
          <w:b/>
        </w:rPr>
        <w:t>。</w:t>
      </w:r>
      <w:r>
        <w:rPr>
          <w:rFonts w:hint="eastAsia" w:ascii="仿宋_GB2312" w:hAnsi="宋体" w:cs="宋体"/>
        </w:rPr>
        <w:t>把握新经济时代产业发展和企业成长规律，加快政策创新和制度突破，推进多种所有制经济共同发展。深化国资国企改革，推进区属国有企业出让、出清，引导保留国有企业建立健全用人、薪酬与激励等市场化运行机制。大力发展民营经济，扩大社会领域对民间投资开放范围，建立规范化、机制化政企沟通渠道，支持民营企业参与涉企政策制定。推进新经济制度创新，实施市场准入负面清单制度，依托大数据、物联网、云计算、人工智能、区块链等新技术，对新业态、新模式开展差异化、动态化监管。加强新经济场景建设，健全支持企业利用城市场景开展新业务的制度体系，加大政府和城市数字资源开放力度，健全政府和城市数字资源监督管理体系。</w:t>
      </w:r>
    </w:p>
    <w:p>
      <w:pPr>
        <w:keepNext/>
        <w:keepLines/>
        <w:ind w:firstLine="643"/>
        <w:outlineLvl w:val="1"/>
        <w:rPr>
          <w:rFonts w:ascii="楷体" w:hAnsi="楷体" w:eastAsia="楷体" w:cs="Times New Roman"/>
          <w:b/>
          <w:bCs/>
          <w:szCs w:val="32"/>
        </w:rPr>
      </w:pPr>
      <w:bookmarkStart w:id="126" w:name="_Toc48224413"/>
      <w:r>
        <w:rPr>
          <w:rFonts w:hint="eastAsia" w:ascii="楷体" w:hAnsi="楷体" w:eastAsia="楷体" w:cs="Times New Roman"/>
          <w:b/>
          <w:bCs/>
          <w:szCs w:val="32"/>
        </w:rPr>
        <w:t>二、优化社会治理和公共服务制度体系</w:t>
      </w:r>
      <w:bookmarkEnd w:id="126"/>
    </w:p>
    <w:p>
      <w:pPr>
        <w:ind w:firstLine="640"/>
        <w:rPr>
          <w:rFonts w:ascii="仿宋_GB2312" w:hAnsi="宋体" w:cs="宋体"/>
          <w:bCs/>
        </w:rPr>
      </w:pPr>
      <w:bookmarkStart w:id="127" w:name="_Hlk43303536"/>
      <w:r>
        <w:rPr>
          <w:rFonts w:ascii="仿宋_GB2312" w:hAnsi="宋体" w:cs="宋体"/>
          <w:bCs/>
        </w:rPr>
        <w:t>以推动治理体系和治理能力现代化为核心，以党建创新为引领，</w:t>
      </w:r>
      <w:r>
        <w:rPr>
          <w:rFonts w:hint="eastAsia" w:ascii="仿宋_GB2312" w:hAnsi="宋体" w:cs="宋体"/>
          <w:bCs/>
        </w:rPr>
        <w:t>着力优化</w:t>
      </w:r>
      <w:r>
        <w:rPr>
          <w:rFonts w:ascii="仿宋_GB2312" w:hAnsi="宋体" w:cs="宋体"/>
          <w:bCs/>
        </w:rPr>
        <w:t>社会治理和公共服务制度体系，加强信用社会建设，构建多方参与、各司其职、功能互补、相互协调的治理架构。</w:t>
      </w:r>
    </w:p>
    <w:p>
      <w:pPr>
        <w:ind w:firstLine="643"/>
        <w:rPr>
          <w:rFonts w:cs="Times New Roman"/>
          <w:szCs w:val="32"/>
        </w:rPr>
      </w:pPr>
      <w:r>
        <w:rPr>
          <w:rFonts w:hint="eastAsia" w:ascii="仿宋_GB2312" w:hAnsi="宋体" w:cs="宋体"/>
          <w:b/>
          <w:bCs/>
        </w:rPr>
        <w:t>构建网格化基层治理新格局</w:t>
      </w:r>
      <w:bookmarkEnd w:id="127"/>
      <w:r>
        <w:rPr>
          <w:rFonts w:hint="eastAsia" w:ascii="仿宋_GB2312" w:hAnsi="宋体" w:cs="宋体"/>
        </w:rPr>
        <w:t>。以构建现代化基层治理体系为目标，健全党组织领导的自治、法治、德治相结合的基层治理体系，夯实社会治理基础。完善党领导下的基层治理体系，持续深化区、街道、社区三级党建工作联席会议制度，</w:t>
      </w:r>
      <w:r>
        <w:rPr>
          <w:rFonts w:hint="eastAsia" w:ascii="仿宋_GB2312"/>
          <w:szCs w:val="32"/>
        </w:rPr>
        <w:t>落实“吹哨报到”工作机制</w:t>
      </w:r>
      <w:r>
        <w:rPr>
          <w:rFonts w:hint="eastAsia" w:ascii="仿宋_GB2312" w:hAnsi="宋体" w:cs="宋体"/>
        </w:rPr>
        <w:t>。以社区党群服务中心为依托，做实做强“党群网格”，拓宽“全科网格”覆盖范围，推进综合治理、应急管理、社会救助等领域网格化建设。落实服务带动管理理念，通过网格员走街入户、开通服务热线等方式及时了解民声民意。</w:t>
      </w:r>
      <w:r>
        <w:rPr>
          <w:rFonts w:hint="eastAsia" w:cs="Times New Roman"/>
          <w:szCs w:val="32"/>
        </w:rPr>
        <w:t>完善社会服务体系，大力发展社区管理、志愿服务、养老助残、困难救助、社区教育等领域社会组织，建立社区、社会组织、社会工作</w:t>
      </w:r>
      <w:r>
        <w:rPr>
          <w:rFonts w:cs="Times New Roman"/>
          <w:szCs w:val="32"/>
        </w:rPr>
        <w:t>“</w:t>
      </w:r>
      <w:r>
        <w:rPr>
          <w:rFonts w:hint="eastAsia" w:cs="Times New Roman"/>
          <w:szCs w:val="32"/>
        </w:rPr>
        <w:t>三社联动</w:t>
      </w:r>
      <w:r>
        <w:rPr>
          <w:rFonts w:cs="Times New Roman"/>
          <w:szCs w:val="32"/>
        </w:rPr>
        <w:t>”</w:t>
      </w:r>
      <w:r>
        <w:rPr>
          <w:rFonts w:hint="eastAsia" w:cs="Times New Roman"/>
          <w:szCs w:val="32"/>
        </w:rPr>
        <w:t>机制。</w:t>
      </w:r>
    </w:p>
    <w:p>
      <w:pPr>
        <w:ind w:firstLine="643"/>
        <w:rPr>
          <w:rFonts w:cs="Times New Roman"/>
          <w:szCs w:val="32"/>
        </w:rPr>
      </w:pPr>
      <w:bookmarkStart w:id="128" w:name="_Hlk46150830"/>
      <w:bookmarkStart w:id="129" w:name="_Hlk46088523"/>
      <w:r>
        <w:rPr>
          <w:rFonts w:hint="eastAsia" w:cs="Times New Roman"/>
          <w:b/>
        </w:rPr>
        <w:t>夯实社会综合治理基础</w:t>
      </w:r>
      <w:bookmarkEnd w:id="128"/>
      <w:r>
        <w:rPr>
          <w:rFonts w:hint="eastAsia" w:cs="Times New Roman"/>
          <w:b/>
        </w:rPr>
        <w:t>。</w:t>
      </w:r>
      <w:bookmarkEnd w:id="129"/>
      <w:bookmarkStart w:id="130" w:name="_Hlk46090771"/>
      <w:r>
        <w:rPr>
          <w:rFonts w:hint="eastAsia" w:cs="Times New Roman"/>
          <w:bCs/>
        </w:rPr>
        <w:t>以确保人民安居乐业、社会安定有序为目标，加强社会综合治理，建设更高水平的平安东丽。</w:t>
      </w:r>
      <w:bookmarkEnd w:id="130"/>
      <w:r>
        <w:rPr>
          <w:rFonts w:hint="eastAsia" w:cs="Times New Roman"/>
          <w:szCs w:val="32"/>
        </w:rPr>
        <w:t>加强应急管理体系建设，针对自然灾害、生产事故等重点领域建立应急预案，健全统一指挥、上下联动的应急管理体制，完善监测预警、风险防控、隐患排查的应急协同机制。</w:t>
      </w:r>
      <w:bookmarkStart w:id="131" w:name="_Hlk44952741"/>
      <w:r>
        <w:rPr>
          <w:rFonts w:hint="eastAsia" w:cs="Times New Roman"/>
          <w:szCs w:val="32"/>
        </w:rPr>
        <w:t>提升综合消防救援体系现代化水平，健全消防责任制度，加强消防装备、队伍和信息化建设，推进弘锦道和通湖路消防站建设，加强消防经费保障。</w:t>
      </w:r>
      <w:bookmarkEnd w:id="131"/>
      <w:bookmarkStart w:id="132" w:name="_Hlk46150856"/>
      <w:r>
        <w:rPr>
          <w:rFonts w:hint="eastAsia" w:cs="Times New Roman"/>
          <w:szCs w:val="32"/>
        </w:rPr>
        <w:t>防范遏制重特大安全生产事故，落实政府领导、部门监管和生产经营单位安全生产主体责任，加强危险化学品、交通运输、建设施工、食品安全和药品安全监管</w:t>
      </w:r>
      <w:bookmarkEnd w:id="132"/>
      <w:r>
        <w:rPr>
          <w:rFonts w:hint="eastAsia" w:cs="Times New Roman"/>
          <w:szCs w:val="32"/>
        </w:rPr>
        <w:t>。</w:t>
      </w:r>
      <w:bookmarkStart w:id="133" w:name="_Hlk46088536"/>
      <w:r>
        <w:rPr>
          <w:rFonts w:hint="eastAsia" w:cs="Times New Roman"/>
          <w:szCs w:val="32"/>
        </w:rPr>
        <w:t>加强社会治安综合治理，坚持打击和防范并举，提高全体公民特别是青少年的守法意识，有效预防青少年犯罪</w:t>
      </w:r>
      <w:bookmarkEnd w:id="133"/>
      <w:r>
        <w:rPr>
          <w:rFonts w:hint="eastAsia" w:ascii="仿宋_GB2312" w:hAnsi="宋体" w:cs="宋体"/>
        </w:rPr>
        <w:t>，维护社会稳定运行。</w:t>
      </w:r>
      <w:r>
        <w:rPr>
          <w:rFonts w:hint="eastAsia" w:cs="Times New Roman"/>
          <w:szCs w:val="32"/>
        </w:rPr>
        <w:t>到</w:t>
      </w:r>
      <w:r>
        <w:rPr>
          <w:rFonts w:cs="Times New Roman"/>
          <w:szCs w:val="32"/>
        </w:rPr>
        <w:t>2025</w:t>
      </w:r>
      <w:r>
        <w:rPr>
          <w:rFonts w:hint="eastAsia" w:cs="Times New Roman"/>
          <w:szCs w:val="32"/>
        </w:rPr>
        <w:t>年，基本形成</w:t>
      </w:r>
      <w:r>
        <w:rPr>
          <w:rFonts w:hint="eastAsia" w:cs="Times New Roman"/>
          <w:bCs/>
        </w:rPr>
        <w:t>自治、法治、德治相结合的现代化治理体系。</w:t>
      </w:r>
    </w:p>
    <w:p>
      <w:pPr>
        <w:ind w:firstLine="643"/>
        <w:rPr>
          <w:rFonts w:ascii="黑体" w:hAnsi="黑体" w:eastAsia="黑体" w:cs="Times New Roman"/>
          <w:b/>
          <w:spacing w:val="-4"/>
          <w:kern w:val="44"/>
          <w:sz w:val="36"/>
          <w:szCs w:val="36"/>
        </w:rPr>
      </w:pPr>
      <w:r>
        <w:rPr>
          <w:rFonts w:hint="eastAsia" w:cs="Times New Roman"/>
          <w:b/>
        </w:rPr>
        <w:t>优化公共服务供给制度体系。</w:t>
      </w:r>
      <w:r>
        <w:rPr>
          <w:rFonts w:hint="eastAsia" w:cs="Times New Roman"/>
        </w:rPr>
        <w:t>明确政府主体责任，完善保障基本公共服务体系有效运行的长效机制，创新基本公共服务供给模式，提高基本公共服务质量和效率。完善基本公共服务准入制度，保障提供基本公共服务的民办机构在设立条件、资质认定、职业资格与职称评定、税收政策和政府购买服务等方面，与事业单位享有平等待遇。</w:t>
      </w:r>
      <w:r>
        <w:rPr>
          <w:rFonts w:hint="eastAsia" w:cs="Times New Roman"/>
          <w:bCs/>
        </w:rPr>
        <w:t>创新政府服务供给方式，积极推行政府购买、特许经营、合同委托、服务外包、土地出让协议配建等多种基本公共服务供给方式。</w:t>
      </w:r>
      <w:r>
        <w:rPr>
          <w:rFonts w:hint="eastAsia" w:ascii="仿宋_GB2312" w:hAnsi="宋体" w:cs="宋体"/>
          <w:bCs/>
        </w:rPr>
        <w:t>健全就业促进与劳动保障制度</w:t>
      </w:r>
      <w:r>
        <w:rPr>
          <w:rFonts w:hint="eastAsia" w:ascii="仿宋_GB2312" w:hAnsi="宋体" w:cs="宋体"/>
        </w:rPr>
        <w:t>，推进公共就业服务、职业技能培训、重点群体就业、创业带动就业、灵活就业认定等方面的制度建设，建立就业影响评估机制，对就业吸纳能力较强的企业和重点项目给予就业政策支持。到</w:t>
      </w:r>
      <w:r>
        <w:rPr>
          <w:rFonts w:cs="宋体"/>
        </w:rPr>
        <w:t>2025</w:t>
      </w:r>
      <w:r>
        <w:rPr>
          <w:rFonts w:ascii="仿宋_GB2312" w:hAnsi="宋体" w:cs="宋体"/>
        </w:rPr>
        <w:t>年，多层次公共服务供给体系基本完善，就业促进与劳动保障制度基本健全。</w:t>
      </w:r>
    </w:p>
    <w:p>
      <w:pPr>
        <w:adjustRightInd w:val="0"/>
        <w:ind w:firstLine="643"/>
        <w:textAlignment w:val="baseline"/>
        <w:rPr>
          <w:rFonts w:ascii="仿宋_GB2312" w:cs="Times New Roman"/>
          <w:bCs/>
          <w:spacing w:val="-4"/>
          <w:kern w:val="0"/>
        </w:rPr>
      </w:pPr>
      <w:r>
        <w:rPr>
          <w:rFonts w:hint="eastAsia" w:ascii="仿宋_GB2312" w:hAnsi="宋体" w:cs="宋体"/>
          <w:b/>
        </w:rPr>
        <w:t>推进社会信用体系建设。</w:t>
      </w:r>
      <w:r>
        <w:rPr>
          <w:rFonts w:hint="eastAsia" w:ascii="仿宋_GB2312" w:hAnsi="宋体" w:cs="宋体"/>
        </w:rPr>
        <w:t>以加强信用社会建设支撑为导向，发挥政府的组织、引导、推动和示范作用和市场机制协调、优化资源配置作用</w:t>
      </w:r>
      <w:r>
        <w:rPr>
          <w:rFonts w:ascii="仿宋_GB2312" w:hAnsi="宋体" w:cs="宋体"/>
        </w:rPr>
        <w:t>,形成社会信用体系建设合力。建设东丽区信用信息共享平台，推进政务、商事、公共服务等重点领域行业信用信息系统建设，完善市场主体信用信息公示系统。推进信用服务市场化，鼓励有资质、有实力的社会机构积极参与信用服务行业，推进政府相关部门率先使用信用信息和信用产品，促进信用服务市场有序发展。建立健全守信激励与失信惩戒机制，加大对守信行为的表彰和宣传力度，建立各行业黑名单制度，完善失信信息记录和披露制度，推动形成市场性和行业性约束和惩戒。到</w:t>
      </w:r>
      <w:r>
        <w:rPr>
          <w:rFonts w:cs="宋体"/>
        </w:rPr>
        <w:t>2025</w:t>
      </w:r>
      <w:r>
        <w:rPr>
          <w:rFonts w:ascii="仿宋_GB2312" w:hAnsi="宋体" w:cs="宋体"/>
        </w:rPr>
        <w:t>年，完成</w:t>
      </w:r>
      <w:r>
        <w:rPr>
          <w:rFonts w:hint="eastAsia" w:ascii="仿宋_GB2312" w:hAnsi="宋体" w:cs="宋体"/>
        </w:rPr>
        <w:t>信用信息共享平台</w:t>
      </w:r>
      <w:r>
        <w:rPr>
          <w:rFonts w:ascii="仿宋_GB2312" w:hAnsi="宋体" w:cs="宋体"/>
        </w:rPr>
        <w:t>建设并实现有效运转，</w:t>
      </w:r>
      <w:r>
        <w:rPr>
          <w:rFonts w:hint="eastAsia" w:ascii="仿宋_GB2312" w:hAnsi="宋体" w:cs="宋体"/>
        </w:rPr>
        <w:t>信用服务市场形成一定规模</w:t>
      </w:r>
      <w:r>
        <w:rPr>
          <w:rFonts w:ascii="仿宋_GB2312" w:hAnsi="宋体" w:cs="宋体"/>
        </w:rPr>
        <w:t>，</w:t>
      </w:r>
      <w:r>
        <w:rPr>
          <w:rFonts w:hint="eastAsia" w:ascii="仿宋_GB2312" w:hAnsi="宋体" w:cs="宋体"/>
        </w:rPr>
        <w:t>守信激励和失信惩戒机制全面发挥作用。</w:t>
      </w:r>
    </w:p>
    <w:p>
      <w:pPr>
        <w:keepNext/>
        <w:keepLines/>
        <w:ind w:firstLine="643"/>
        <w:outlineLvl w:val="1"/>
        <w:rPr>
          <w:rFonts w:ascii="楷体" w:hAnsi="楷体" w:eastAsia="楷体" w:cs="Times New Roman"/>
          <w:b/>
          <w:bCs/>
          <w:szCs w:val="32"/>
        </w:rPr>
      </w:pPr>
      <w:bookmarkStart w:id="134" w:name="_Toc37662915"/>
      <w:bookmarkStart w:id="135" w:name="_Toc48224414"/>
      <w:r>
        <w:rPr>
          <w:rFonts w:hint="eastAsia" w:ascii="楷体" w:hAnsi="楷体" w:eastAsia="楷体" w:cs="Times New Roman"/>
          <w:b/>
          <w:bCs/>
          <w:szCs w:val="32"/>
        </w:rPr>
        <w:t>三、</w:t>
      </w:r>
      <w:bookmarkStart w:id="136" w:name="_Hlk38620814"/>
      <w:r>
        <w:rPr>
          <w:rFonts w:hint="eastAsia" w:ascii="楷体" w:hAnsi="楷体" w:eastAsia="楷体" w:cs="Times New Roman"/>
          <w:b/>
          <w:bCs/>
          <w:szCs w:val="32"/>
        </w:rPr>
        <w:t>推进京津冀协同</w:t>
      </w:r>
      <w:bookmarkEnd w:id="134"/>
      <w:bookmarkEnd w:id="136"/>
      <w:r>
        <w:rPr>
          <w:rFonts w:hint="eastAsia" w:ascii="楷体" w:hAnsi="楷体" w:eastAsia="楷体" w:cs="Times New Roman"/>
          <w:b/>
          <w:bCs/>
          <w:szCs w:val="32"/>
        </w:rPr>
        <w:t>发展向纵深拓展</w:t>
      </w:r>
      <w:bookmarkEnd w:id="135"/>
    </w:p>
    <w:p>
      <w:pPr>
        <w:ind w:firstLine="640"/>
        <w:rPr>
          <w:rFonts w:ascii="仿宋_GB2312" w:cs="Times New Roman"/>
          <w:bCs/>
        </w:rPr>
      </w:pPr>
      <w:bookmarkStart w:id="137" w:name="_Hlk43303587"/>
      <w:r>
        <w:rPr>
          <w:rFonts w:hint="eastAsia" w:ascii="仿宋_GB2312" w:cs="Times New Roman"/>
          <w:bCs/>
        </w:rPr>
        <w:t>落实京津冀协同发展新阶段新要求，紧抓疏解北京非首都功能这个“牛鼻子”，聚焦</w:t>
      </w:r>
      <w:r>
        <w:rPr>
          <w:rFonts w:ascii="仿宋_GB2312" w:cs="Times New Roman"/>
          <w:bCs/>
        </w:rPr>
        <w:t>“311”</w:t>
      </w:r>
      <w:r>
        <w:rPr>
          <w:rFonts w:hint="eastAsia" w:ascii="仿宋_GB2312" w:cs="Times New Roman"/>
          <w:bCs/>
        </w:rPr>
        <w:t>重点领域承接北京产业创新资源疏解，推进协同创新、生态环境、公共服务等领域与京、冀交流互动，推动东丽融入京津冀协同发展大格局。</w:t>
      </w:r>
    </w:p>
    <w:p>
      <w:pPr>
        <w:ind w:firstLine="643"/>
        <w:rPr>
          <w:rFonts w:ascii="仿宋_GB2312" w:cs="Times New Roman"/>
        </w:rPr>
      </w:pPr>
      <w:r>
        <w:rPr>
          <w:rFonts w:hint="eastAsia" w:ascii="仿宋_GB2312" w:cs="Times New Roman"/>
          <w:b/>
          <w:bCs/>
        </w:rPr>
        <w:t>聚焦重点领域承接北京外溢产业创新资源</w:t>
      </w:r>
      <w:bookmarkEnd w:id="137"/>
      <w:r>
        <w:rPr>
          <w:rFonts w:hint="eastAsia" w:ascii="仿宋_GB2312" w:cs="Times New Roman"/>
          <w:b/>
          <w:bCs/>
        </w:rPr>
        <w:t>。</w:t>
      </w:r>
      <w:r>
        <w:rPr>
          <w:rFonts w:hint="eastAsia" w:ascii="仿宋_GB2312" w:cs="Times New Roman"/>
          <w:bCs/>
        </w:rPr>
        <w:t>以加强京津冀产业协同发展为导向，以</w:t>
      </w:r>
      <w:r>
        <w:rPr>
          <w:rFonts w:hint="eastAsia" w:ascii="仿宋_GB2312" w:cs="Times New Roman"/>
        </w:rPr>
        <w:t>企业引培、园区共建为抓手，提升对北京外溢资源的承接力度。开展新经济招商，重点引入瞪羚企业、独角兽企业等高成长企业和平台型组织，优化区域产业生态。建设京津冀协同发展攻坚行动产业承接平台，以东丽经开区、临空经济区、华明高新区和东丽湖四大重点区域为承接载体，加强与北京园区合作，推动共建共享。到</w:t>
      </w:r>
      <w:r>
        <w:rPr>
          <w:rFonts w:cs="Times New Roman"/>
        </w:rPr>
        <w:t>2025</w:t>
      </w:r>
      <w:r>
        <w:rPr>
          <w:rFonts w:hint="eastAsia" w:ascii="仿宋_GB2312" w:cs="Times New Roman"/>
        </w:rPr>
        <w:t>年，实现承接北京外溢产业创新资源能力全面提升。</w:t>
      </w:r>
    </w:p>
    <w:p>
      <w:pPr>
        <w:ind w:firstLine="643"/>
        <w:rPr>
          <w:rFonts w:cs="Times New Roman"/>
        </w:rPr>
      </w:pPr>
      <w:bookmarkStart w:id="138" w:name="_Hlk43303990"/>
      <w:r>
        <w:rPr>
          <w:rFonts w:hint="eastAsia" w:cs="Times New Roman"/>
          <w:b/>
          <w:bCs/>
        </w:rPr>
        <w:t>构建京津冀协同创新生态圈</w:t>
      </w:r>
      <w:bookmarkEnd w:id="138"/>
      <w:r>
        <w:rPr>
          <w:rFonts w:hint="eastAsia" w:cs="Times New Roman"/>
          <w:b/>
          <w:bCs/>
        </w:rPr>
        <w:t>。</w:t>
      </w:r>
      <w:r>
        <w:rPr>
          <w:rFonts w:hint="eastAsia" w:cs="Times New Roman"/>
        </w:rPr>
        <w:t>以“新创业、新研发、新服务”为核心，促进京津冀协同创新发展。深入推进中科院天津创新产业园建设，促进中科院系统产业化项目和创业项目在东丽落地，打造北京科技成果产业化基地。加强与中关村等创新创业高地合作，以市场需求为导向，引入科技创新服务机构，打造京津冀市场化科技服务高地，营造良好创新创业生态。</w:t>
      </w:r>
      <w:r>
        <w:rPr>
          <w:rFonts w:hint="eastAsia" w:ascii="仿宋_GB2312" w:cs="Times New Roman"/>
        </w:rPr>
        <w:t>到</w:t>
      </w:r>
      <w:r>
        <w:rPr>
          <w:rFonts w:cs="Times New Roman"/>
        </w:rPr>
        <w:t>2025</w:t>
      </w:r>
      <w:r>
        <w:rPr>
          <w:rFonts w:hint="eastAsia" w:ascii="仿宋_GB2312" w:cs="Times New Roman"/>
        </w:rPr>
        <w:t>年，承接北京科研院所产业化项目</w:t>
      </w:r>
      <w:r>
        <w:rPr>
          <w:rFonts w:cs="Times New Roman"/>
        </w:rPr>
        <w:t>50</w:t>
      </w:r>
      <w:r>
        <w:rPr>
          <w:rFonts w:hint="eastAsia" w:ascii="仿宋_GB2312" w:cs="Times New Roman"/>
        </w:rPr>
        <w:t>个，引入北京科技创新服务机构</w:t>
      </w:r>
      <w:r>
        <w:rPr>
          <w:rFonts w:cs="Times New Roman"/>
        </w:rPr>
        <w:t>50</w:t>
      </w:r>
      <w:r>
        <w:rPr>
          <w:rFonts w:hint="eastAsia" w:ascii="仿宋_GB2312" w:cs="Times New Roman"/>
        </w:rPr>
        <w:t>家，初步形成京津冀协同创新生态圈。</w:t>
      </w:r>
    </w:p>
    <w:p>
      <w:pPr>
        <w:ind w:firstLine="643"/>
        <w:rPr>
          <w:rFonts w:cs="Times New Roman"/>
        </w:rPr>
      </w:pPr>
      <w:r>
        <w:rPr>
          <w:rFonts w:hint="eastAsia" w:cs="Times New Roman"/>
          <w:b/>
          <w:bCs/>
        </w:rPr>
        <w:t>完善跨区域人才服务网络。</w:t>
      </w:r>
      <w:r>
        <w:rPr>
          <w:rFonts w:hint="eastAsia" w:cs="Times New Roman"/>
        </w:rPr>
        <w:t>围绕重点合作园区和平台，加强高层次人才交流和联合培养，增强东丽区对北京高端人才的吸引力。落实天津市“海河英才”行动计划，面向区域发展需求，开辟北京高端人才引入绿色通道，加大急需和紧缺人才引进力度。配合推动京津冀专业技术职称互认，创新柔性引才等方式，打破高层次人才区域流动障碍，促进人才柔性流动。加强对高端人才的服务和政策支持，搭建京津冀高层次人才服务平台，促进高层次人才沟通交流，探索构建京津高端人才社交网络。到</w:t>
      </w:r>
      <w:r>
        <w:rPr>
          <w:rFonts w:cs="Times New Roman"/>
        </w:rPr>
        <w:t>2025</w:t>
      </w:r>
      <w:r>
        <w:rPr>
          <w:rFonts w:hint="eastAsia" w:cs="Times New Roman"/>
        </w:rPr>
        <w:t>年，引入的高层次人才中北京人才占比达</w:t>
      </w:r>
      <w:r>
        <w:rPr>
          <w:rFonts w:cs="Times New Roman"/>
        </w:rPr>
        <w:t>50%</w:t>
      </w:r>
      <w:r>
        <w:rPr>
          <w:rFonts w:hint="eastAsia" w:cs="Times New Roman"/>
        </w:rPr>
        <w:t>以上，跨区域人才服务网络基本完善。</w:t>
      </w:r>
    </w:p>
    <w:p>
      <w:pPr>
        <w:ind w:firstLine="643"/>
        <w:rPr>
          <w:rFonts w:cs="Times New Roman"/>
        </w:rPr>
      </w:pPr>
      <w:r>
        <w:rPr>
          <w:rFonts w:hint="eastAsia" w:cs="Times New Roman"/>
          <w:b/>
        </w:rPr>
        <w:t>深化京津冀公共服务共建共享。</w:t>
      </w:r>
      <w:r>
        <w:rPr>
          <w:rFonts w:hint="eastAsia" w:cs="Times New Roman"/>
          <w:bCs/>
        </w:rPr>
        <w:t>以提</w:t>
      </w:r>
      <w:r>
        <w:rPr>
          <w:rFonts w:hint="eastAsia" w:cs="Times New Roman"/>
        </w:rPr>
        <w:t>高居民生活便利度为导向，探索合作共建等机制，推进京津冀公共服务均衡发展。与京冀优质中小学开展合作办学、互访互学等校际交流活动，深化与京冀职业院校产教融合、校企合作。开展京津冀三地卫生监督业务交流，推进京津冀临床检验结果、医师护士从业资格互认和医学影像学资料共享。支持京津冀机场群三地四场建设，依托军粮城北站积极参与京滨城际铁路建设，配合做好港城大道与京津塘高速联络线建设，融入京津冀交通网络。开展京津冀三地文化交流，引入北京、河北优秀剧目，组织文化交流活动。</w:t>
      </w:r>
    </w:p>
    <w:p>
      <w:pPr>
        <w:ind w:firstLine="643"/>
        <w:rPr>
          <w:rFonts w:cs="Times New Roman"/>
        </w:rPr>
      </w:pPr>
      <w:r>
        <w:rPr>
          <w:rFonts w:hint="eastAsia" w:cs="Times New Roman"/>
          <w:b/>
        </w:rPr>
        <w:t>建立生态环境保护联动机制。</w:t>
      </w:r>
      <w:r>
        <w:rPr>
          <w:rFonts w:hint="eastAsia" w:cs="Times New Roman"/>
          <w:bCs/>
        </w:rPr>
        <w:t>充分</w:t>
      </w:r>
      <w:r>
        <w:rPr>
          <w:rFonts w:hint="eastAsia" w:cs="Times New Roman"/>
        </w:rPr>
        <w:t>利用“互联网</w:t>
      </w:r>
      <w:r>
        <w:rPr>
          <w:rFonts w:cs="Times New Roman"/>
        </w:rPr>
        <w:t>+</w:t>
      </w:r>
      <w:r>
        <w:rPr>
          <w:rFonts w:hint="eastAsia" w:cs="Times New Roman"/>
        </w:rPr>
        <w:t>”、“人工智能</w:t>
      </w:r>
      <w:r>
        <w:rPr>
          <w:rFonts w:cs="Times New Roman"/>
        </w:rPr>
        <w:t>+</w:t>
      </w:r>
      <w:r>
        <w:rPr>
          <w:rFonts w:hint="eastAsia" w:cs="Times New Roman"/>
        </w:rPr>
        <w:t>”等新技术、新手段，推进京津冀生态环境治理一体化。加快京津冀重点污染源监测网络建设，构建环境监测数据传输网络，满足京津冀区域生态环境保护联防联控要求。加强京津冀联动执法，积极参与京津冀大气污染、水污染综合治理和管控一体化工程，坚持依法铁腕治污。持续推进京津冀生态环境保护协同联动，落实天津构筑中心城区和滨海新区之间绿色生态屏障的重大战略部署，扎实推进</w:t>
      </w:r>
      <w:r>
        <w:rPr>
          <w:rFonts w:cs="Times New Roman"/>
        </w:rPr>
        <w:t>146</w:t>
      </w:r>
      <w:r>
        <w:rPr>
          <w:rFonts w:hint="eastAsia" w:cs="Times New Roman"/>
        </w:rPr>
        <w:t>平方公里生态屏障建设。到</w:t>
      </w:r>
      <w:r>
        <w:rPr>
          <w:rFonts w:cs="Times New Roman"/>
        </w:rPr>
        <w:t>2025</w:t>
      </w:r>
      <w:r>
        <w:rPr>
          <w:rFonts w:hint="eastAsia" w:cs="Times New Roman"/>
        </w:rPr>
        <w:t>年，形成较为完善的京津冀环境保护联动机制。</w:t>
      </w:r>
    </w:p>
    <w:p>
      <w:pPr>
        <w:keepNext/>
        <w:keepLines/>
        <w:ind w:firstLine="643"/>
        <w:outlineLvl w:val="1"/>
        <w:rPr>
          <w:rFonts w:ascii="楷体" w:hAnsi="楷体" w:eastAsia="楷体" w:cs="Times New Roman"/>
          <w:b/>
          <w:bCs/>
          <w:szCs w:val="32"/>
        </w:rPr>
      </w:pPr>
      <w:bookmarkStart w:id="139" w:name="_Toc37662916"/>
      <w:bookmarkStart w:id="140" w:name="_Toc48224415"/>
      <w:r>
        <w:rPr>
          <w:rFonts w:hint="eastAsia" w:ascii="楷体" w:hAnsi="楷体" w:eastAsia="楷体" w:cs="Times New Roman"/>
          <w:b/>
          <w:bCs/>
          <w:szCs w:val="32"/>
        </w:rPr>
        <w:t>四、</w:t>
      </w:r>
      <w:bookmarkStart w:id="141" w:name="_Hlk38620831"/>
      <w:r>
        <w:rPr>
          <w:rFonts w:hint="eastAsia" w:ascii="楷体" w:hAnsi="楷体" w:eastAsia="楷体" w:cs="Times New Roman"/>
          <w:b/>
          <w:bCs/>
          <w:szCs w:val="32"/>
        </w:rPr>
        <w:t>高端链接全国新经济发展高地</w:t>
      </w:r>
      <w:bookmarkEnd w:id="139"/>
      <w:bookmarkEnd w:id="140"/>
      <w:bookmarkEnd w:id="141"/>
    </w:p>
    <w:p>
      <w:pPr>
        <w:ind w:firstLine="640"/>
        <w:rPr>
          <w:rFonts w:ascii="楷体" w:hAnsi="楷体" w:eastAsia="楷体" w:cs="Times New Roman"/>
          <w:b/>
          <w:bCs/>
          <w:szCs w:val="32"/>
        </w:rPr>
      </w:pPr>
      <w:r>
        <w:rPr>
          <w:rFonts w:ascii="仿宋_GB2312" w:hAnsi="黑体" w:cs="Times New Roman"/>
        </w:rPr>
        <w:t>以打造开放新高地为目标，</w:t>
      </w:r>
      <w:r>
        <w:rPr>
          <w:rFonts w:hint="eastAsia" w:ascii="仿宋_GB2312" w:hAnsi="黑体" w:cs="Times New Roman"/>
        </w:rPr>
        <w:t>落实东丽区“决胜临空”战略部署，聚焦东丽发展的重点领域，对接国内新经济发展高地拓宽国内交流合作，</w:t>
      </w:r>
      <w:r>
        <w:rPr>
          <w:rFonts w:ascii="仿宋_GB2312" w:hAnsi="黑体" w:cs="Times New Roman"/>
        </w:rPr>
        <w:t>搭建多层次、多领域合作平台</w:t>
      </w:r>
      <w:r>
        <w:rPr>
          <w:rFonts w:hint="eastAsia" w:ascii="仿宋_GB2312" w:hAnsi="黑体" w:cs="Times New Roman"/>
        </w:rPr>
        <w:t>，构建完善的产业创新合作体系。</w:t>
      </w:r>
    </w:p>
    <w:p>
      <w:pPr>
        <w:ind w:firstLine="643"/>
        <w:rPr>
          <w:rFonts w:ascii="仿宋_GB2312" w:cs="Times New Roman"/>
        </w:rPr>
      </w:pPr>
      <w:r>
        <w:rPr>
          <w:rFonts w:hint="eastAsia" w:ascii="仿宋_GB2312" w:hAnsi="黑体" w:cs="Times New Roman"/>
          <w:b/>
        </w:rPr>
        <w:t>发展临空经济引聚高端资源。</w:t>
      </w:r>
      <w:r>
        <w:rPr>
          <w:rFonts w:hint="eastAsia" w:ascii="仿宋_GB2312" w:hAnsi="黑体" w:cs="Times New Roman"/>
        </w:rPr>
        <w:t>充分发挥东丽区临空区位优势，落实“决胜临空”战略部署，引聚高端创新生产要素。</w:t>
      </w:r>
      <w:r>
        <w:rPr>
          <w:rFonts w:hint="eastAsia" w:ascii="仿宋_GB2312" w:cs="Times New Roman"/>
        </w:rPr>
        <w:t>深化与空港保税区、天津经开区、滨海高新区产业对接，完善园区建设和产业创新发展合作机制。加快临空经济区载体建设，完善园区“云、网、端”等新经济基础设施建设，创建智慧园区。依托天津滨海国际机场，打造智慧机场、临空服务等新经济场景，提供新技术、新业态、新模式试验空间。充分利用毗邻机场、综合运输便捷的区位交通优势，汇聚客流、货流、信息流，围绕航空关联性较强的临空高科技产业领域，引聚高端要素。到</w:t>
      </w:r>
      <w:r>
        <w:rPr>
          <w:rFonts w:cs="Times New Roman"/>
        </w:rPr>
        <w:t>2025</w:t>
      </w:r>
      <w:r>
        <w:rPr>
          <w:rFonts w:hint="eastAsia" w:ascii="仿宋_GB2312" w:cs="Times New Roman"/>
        </w:rPr>
        <w:t>年，完成临空经济区智慧园区建设，承接临空关联项目</w:t>
      </w:r>
      <w:r>
        <w:rPr>
          <w:rFonts w:cs="Times New Roman"/>
        </w:rPr>
        <w:t>100</w:t>
      </w:r>
      <w:r>
        <w:rPr>
          <w:rFonts w:hint="eastAsia" w:ascii="仿宋_GB2312" w:cs="Times New Roman"/>
        </w:rPr>
        <w:t>个以上。</w:t>
      </w:r>
    </w:p>
    <w:p>
      <w:pPr>
        <w:ind w:firstLine="643"/>
        <w:rPr>
          <w:rFonts w:cs="Times New Roman"/>
        </w:rPr>
      </w:pPr>
      <w:r>
        <w:rPr>
          <w:rFonts w:hint="eastAsia" w:cs="Times New Roman"/>
          <w:b/>
          <w:bCs/>
        </w:rPr>
        <w:t>聚焦主导产业链接新经济资源。</w:t>
      </w:r>
      <w:r>
        <w:rPr>
          <w:rFonts w:hint="eastAsia" w:cs="Times New Roman"/>
        </w:rPr>
        <w:t>聚焦东丽产业发展重点领域，链接全国新经济高地，引进一批技术、人才、资本等产业创新要素。链接上海、深圳等产业高地，加强生物医药、高端装备制造等领域创新合作。对接杭州、深圳等互联网产业高地，引入平台型企业赋能本地优势产业。</w:t>
      </w:r>
      <w:r>
        <w:rPr>
          <w:rFonts w:hint="eastAsia" w:ascii="仿宋_GB2312" w:cs="Times New Roman"/>
          <w:bCs/>
          <w:szCs w:val="32"/>
          <w:u w:color="000000"/>
        </w:rPr>
        <w:t>把握津南国家会展中心建设机遇，打通机场、高铁站通往会展中心交通瓶颈，协同津南打造会展经济生态圈。</w:t>
      </w:r>
      <w:r>
        <w:rPr>
          <w:rFonts w:hint="eastAsia" w:cs="Times New Roman"/>
        </w:rPr>
        <w:t>围绕产业、创新、城市、文化等主题，搭建一批区域合作组织和行业合作平台，加强与先进地区友好交流。深化区域间政府部门的合作，积极探索建立高层互访和对话机制，推进经济社会发展的全方位合作。</w:t>
      </w:r>
      <w:r>
        <w:rPr>
          <w:rFonts w:hint="eastAsia" w:ascii="仿宋_GB2312" w:cs="Times New Roman"/>
        </w:rPr>
        <w:t>到</w:t>
      </w:r>
      <w:r>
        <w:rPr>
          <w:rFonts w:cs="Times New Roman"/>
        </w:rPr>
        <w:t>2025</w:t>
      </w:r>
      <w:r>
        <w:rPr>
          <w:rFonts w:hint="eastAsia" w:ascii="仿宋_GB2312" w:cs="Times New Roman"/>
        </w:rPr>
        <w:t>年，构建完善的产业创新合作体系，实际利用内资额超过</w:t>
      </w:r>
      <w:r>
        <w:rPr>
          <w:rFonts w:cs="Times New Roman"/>
        </w:rPr>
        <w:t>180</w:t>
      </w:r>
      <w:r>
        <w:rPr>
          <w:rFonts w:hint="eastAsia" w:ascii="仿宋_GB2312" w:cs="Times New Roman"/>
        </w:rPr>
        <w:t>亿元。</w:t>
      </w:r>
    </w:p>
    <w:p>
      <w:pPr>
        <w:keepNext/>
        <w:keepLines/>
        <w:ind w:firstLine="643"/>
        <w:outlineLvl w:val="1"/>
        <w:rPr>
          <w:rFonts w:ascii="楷体" w:hAnsi="楷体" w:eastAsia="楷体" w:cs="Times New Roman"/>
          <w:b/>
          <w:bCs/>
          <w:szCs w:val="32"/>
        </w:rPr>
      </w:pPr>
      <w:bookmarkStart w:id="142" w:name="_Toc37662917"/>
      <w:bookmarkStart w:id="143" w:name="_Toc48224416"/>
      <w:r>
        <w:rPr>
          <w:rFonts w:hint="eastAsia" w:ascii="楷体" w:hAnsi="楷体" w:eastAsia="楷体" w:cs="Times New Roman"/>
          <w:b/>
          <w:bCs/>
          <w:szCs w:val="32"/>
        </w:rPr>
        <w:t>五、</w:t>
      </w:r>
      <w:bookmarkStart w:id="144" w:name="_Hlk38620871"/>
      <w:r>
        <w:rPr>
          <w:rFonts w:hint="eastAsia" w:ascii="楷体" w:hAnsi="楷体" w:eastAsia="楷体" w:cs="Times New Roman"/>
          <w:b/>
          <w:bCs/>
          <w:szCs w:val="32"/>
        </w:rPr>
        <w:t>借力自贸区提升</w:t>
      </w:r>
      <w:bookmarkEnd w:id="142"/>
      <w:bookmarkEnd w:id="144"/>
      <w:r>
        <w:rPr>
          <w:rFonts w:hint="eastAsia" w:ascii="楷体" w:hAnsi="楷体" w:eastAsia="楷体" w:cs="Times New Roman"/>
          <w:b/>
          <w:bCs/>
          <w:szCs w:val="32"/>
        </w:rPr>
        <w:t>对外开放水平</w:t>
      </w:r>
      <w:bookmarkEnd w:id="143"/>
    </w:p>
    <w:p>
      <w:pPr>
        <w:ind w:firstLine="640"/>
        <w:rPr>
          <w:rFonts w:cs="Times New Roman"/>
        </w:rPr>
      </w:pPr>
      <w:r>
        <w:rPr>
          <w:rFonts w:hint="eastAsia" w:cs="Times New Roman"/>
        </w:rPr>
        <w:t>充分发挥自由贸易试验区政策优势，融入</w:t>
      </w:r>
      <w:r>
        <w:rPr>
          <w:rFonts w:cs="Times New Roman"/>
        </w:rPr>
        <w:t>“</w:t>
      </w:r>
      <w:r>
        <w:rPr>
          <w:rFonts w:hint="eastAsia" w:cs="Times New Roman"/>
        </w:rPr>
        <w:t>一带一路</w:t>
      </w:r>
      <w:r>
        <w:rPr>
          <w:rFonts w:cs="Times New Roman"/>
        </w:rPr>
        <w:t>”</w:t>
      </w:r>
      <w:r>
        <w:rPr>
          <w:rFonts w:hint="eastAsia" w:cs="Times New Roman"/>
        </w:rPr>
        <w:t>建设，推进贸易转型升级、高质量发展，打造国际交流合作平台，支持企业国际化发展，全面提升对外开放水平。</w:t>
      </w:r>
    </w:p>
    <w:p>
      <w:pPr>
        <w:ind w:firstLine="643"/>
        <w:rPr>
          <w:rFonts w:cs="Times New Roman"/>
          <w:bCs/>
        </w:rPr>
      </w:pPr>
      <w:r>
        <w:rPr>
          <w:rFonts w:hint="eastAsia" w:cs="Times New Roman"/>
          <w:b/>
        </w:rPr>
        <w:t>用好自由贸易试验区政策优势服务产业转型升级。</w:t>
      </w:r>
      <w:r>
        <w:rPr>
          <w:rFonts w:hint="eastAsia" w:cs="Times New Roman"/>
          <w:bCs/>
        </w:rPr>
        <w:t>充分利用临空经济区自贸区政策，促进产融合作，推动贸易转型升</w:t>
      </w:r>
      <w:r>
        <w:rPr>
          <w:rFonts w:hint="eastAsia" w:ascii="仿宋_GB2312" w:cs="Times New Roman"/>
          <w:bCs/>
        </w:rPr>
        <w:t>级。完善金融服务功能，支持金融机构在自贸试验区开展跨区域金融协同创新与合作，优化金融资源配置。推进自贸区跨境电商小镇建设，鼓励支持跨境电商企业建设出口产品“海外仓”和海外运营中心，在符合检疫要求的前提下，支持跨境电商保税备货业务商品进入海关特殊监管区域时先理货后报关。到</w:t>
      </w:r>
      <w:r>
        <w:rPr>
          <w:rFonts w:cs="Times New Roman"/>
          <w:bCs/>
        </w:rPr>
        <w:t>2025</w:t>
      </w:r>
      <w:r>
        <w:rPr>
          <w:rFonts w:hint="eastAsia" w:ascii="仿宋_GB2312" w:cs="Times New Roman"/>
          <w:bCs/>
        </w:rPr>
        <w:t>年，建成便捷、完善的自贸区通关、结算、贸易体系，形成跨境电商产业集群。</w:t>
      </w:r>
    </w:p>
    <w:p>
      <w:pPr>
        <w:ind w:firstLine="643"/>
        <w:rPr>
          <w:rFonts w:cs="Times New Roman"/>
        </w:rPr>
      </w:pPr>
      <w:bookmarkStart w:id="145" w:name="_Hlk43304203"/>
      <w:r>
        <w:rPr>
          <w:rFonts w:hint="eastAsia" w:cs="Times New Roman"/>
          <w:b/>
        </w:rPr>
        <w:t>建设国际交流合作平台构建国际创新网络</w:t>
      </w:r>
      <w:bookmarkEnd w:id="145"/>
      <w:r>
        <w:rPr>
          <w:rFonts w:hint="eastAsia" w:cs="Times New Roman"/>
        </w:rPr>
        <w:t>。拓宽国际合作领域与合作方式，全面加强产业、技术、人才高端链接。立足东丽区重点发展领域，与“一带一路”沿线国家试点共建的合作项目，开展全方位、多层次、高水平国际创新合作。建设离岸创新创业基地，探索“国外孵化</w:t>
      </w:r>
      <w:r>
        <w:rPr>
          <w:rFonts w:cs="Times New Roman"/>
        </w:rPr>
        <w:t>+</w:t>
      </w:r>
      <w:r>
        <w:rPr>
          <w:rFonts w:hint="eastAsia" w:cs="Times New Roman"/>
        </w:rPr>
        <w:t>国内加速”模式，从国际技术转移向国际创业转移升级。加强国际交流合作，积极参与各类国际会议、学术论坛和展会交流等活动，提升区域国际影响力。到</w:t>
      </w:r>
      <w:r>
        <w:rPr>
          <w:rFonts w:cs="Times New Roman"/>
        </w:rPr>
        <w:t>2025</w:t>
      </w:r>
      <w:r>
        <w:rPr>
          <w:rFonts w:hint="eastAsia" w:cs="Times New Roman"/>
        </w:rPr>
        <w:t>年，建成</w:t>
      </w:r>
      <w:r>
        <w:rPr>
          <w:rFonts w:cs="Times New Roman"/>
        </w:rPr>
        <w:t>3</w:t>
      </w:r>
      <w:r>
        <w:rPr>
          <w:rFonts w:hint="eastAsia" w:cs="Times New Roman"/>
        </w:rPr>
        <w:t>个国际创业平台，参加或开展</w:t>
      </w:r>
      <w:r>
        <w:rPr>
          <w:rFonts w:cs="Times New Roman"/>
        </w:rPr>
        <w:t>20</w:t>
      </w:r>
      <w:r>
        <w:rPr>
          <w:rFonts w:hint="eastAsia" w:cs="Times New Roman"/>
        </w:rPr>
        <w:t>场以上国际交流活动。</w:t>
      </w:r>
    </w:p>
    <w:p>
      <w:pPr>
        <w:ind w:firstLine="643"/>
        <w:rPr>
          <w:rFonts w:cs="Times New Roman"/>
        </w:rPr>
      </w:pPr>
      <w:r>
        <w:rPr>
          <w:rFonts w:hint="eastAsia" w:cs="Times New Roman"/>
          <w:b/>
          <w:bCs/>
        </w:rPr>
        <w:t>支持企业国际化发展。</w:t>
      </w:r>
      <w:bookmarkStart w:id="146" w:name="_Hlk43304213"/>
      <w:r>
        <w:rPr>
          <w:rFonts w:hint="eastAsia" w:cs="Times New Roman"/>
        </w:rPr>
        <w:t>鼓励企业开拓国际市场，深入参与全球价值链</w:t>
      </w:r>
      <w:bookmarkEnd w:id="146"/>
      <w:r>
        <w:rPr>
          <w:rFonts w:hint="eastAsia" w:cs="Times New Roman"/>
        </w:rPr>
        <w:t>。支持企业通过参股、并购、工程承包等方式扩大对外投资，推动产品、技术、标准、服务“一体化”走出去。支持企业通过自建、合资等方式建立海外研发中心和实验室，鼓励企业开展跨国技术并购和跨国技术转移，提升企业技术创新能力。支持企业加入跨国技术联盟和国际研发网络，推动合作领域向前沿研发、标准创制等高端环节延伸。到</w:t>
      </w:r>
      <w:r>
        <w:rPr>
          <w:rFonts w:cs="Times New Roman"/>
        </w:rPr>
        <w:t>2025</w:t>
      </w:r>
      <w:r>
        <w:rPr>
          <w:rFonts w:hint="eastAsia" w:cs="Times New Roman"/>
        </w:rPr>
        <w:t>年，实现外贸出口总额超过</w:t>
      </w:r>
      <w:r>
        <w:rPr>
          <w:rFonts w:cs="Times New Roman"/>
        </w:rPr>
        <w:t>220</w:t>
      </w:r>
      <w:r>
        <w:rPr>
          <w:rFonts w:hint="eastAsia" w:cs="Times New Roman"/>
        </w:rPr>
        <w:t>亿元，建立</w:t>
      </w:r>
      <w:r>
        <w:rPr>
          <w:rFonts w:cs="Times New Roman"/>
        </w:rPr>
        <w:t>12</w:t>
      </w:r>
      <w:r>
        <w:rPr>
          <w:rFonts w:hint="eastAsia" w:cs="Times New Roman"/>
        </w:rPr>
        <w:t>个海外研发中心。</w:t>
      </w:r>
    </w:p>
    <w:bookmarkEnd w:id="58"/>
    <w:p>
      <w:pPr>
        <w:widowControl/>
        <w:ind w:firstLine="0" w:firstLineChars="0"/>
        <w:jc w:val="left"/>
        <w:rPr>
          <w:rFonts w:ascii="黑体" w:hAnsi="黑体" w:eastAsia="黑体" w:cs="Times New Roman"/>
          <w:b/>
          <w:spacing w:val="-4"/>
          <w:kern w:val="44"/>
          <w:sz w:val="36"/>
          <w:szCs w:val="36"/>
        </w:rPr>
      </w:pPr>
      <w:r>
        <w:br w:type="page"/>
      </w:r>
    </w:p>
    <w:p>
      <w:pPr>
        <w:pStyle w:val="2"/>
        <w:spacing w:before="312" w:beforeLines="100" w:after="312" w:afterLines="100"/>
      </w:pPr>
      <w:bookmarkStart w:id="147" w:name="_Toc48224417"/>
      <w:r>
        <w:rPr>
          <w:rFonts w:hint="eastAsia"/>
        </w:rPr>
        <w:t>第九章</w:t>
      </w:r>
      <w:r>
        <w:tab/>
      </w:r>
      <w:r>
        <w:rPr>
          <w:rFonts w:hint="eastAsia"/>
        </w:rPr>
        <w:t>加强保障，确保规划高效落实</w:t>
      </w:r>
      <w:bookmarkEnd w:id="147"/>
    </w:p>
    <w:p>
      <w:pPr>
        <w:ind w:firstLine="640"/>
        <w:rPr>
          <w:rFonts w:hAnsi="仿宋"/>
          <w:snapToGrid w:val="0"/>
          <w:szCs w:val="32"/>
        </w:rPr>
      </w:pPr>
      <w:r>
        <w:rPr>
          <w:rFonts w:hint="eastAsia" w:hAnsi="仿宋"/>
          <w:snapToGrid w:val="0"/>
          <w:szCs w:val="32"/>
        </w:rPr>
        <w:t>全面落实东丽区“十四五”规划各项工作部署，</w:t>
      </w:r>
      <w:bookmarkStart w:id="148" w:name="_Hlk43304265"/>
      <w:r>
        <w:rPr>
          <w:rFonts w:hint="eastAsia" w:hAnsi="仿宋"/>
          <w:snapToGrid w:val="0"/>
          <w:szCs w:val="32"/>
        </w:rPr>
        <w:t>强化组织领导、资金投入、政策供给、项目支撑</w:t>
      </w:r>
      <w:bookmarkEnd w:id="148"/>
      <w:r>
        <w:rPr>
          <w:rFonts w:hint="eastAsia" w:hAnsi="仿宋"/>
          <w:snapToGrid w:val="0"/>
          <w:szCs w:val="32"/>
        </w:rPr>
        <w:t>等方面保障，加强对规划执行情况的监督和评估，确保圆满完成“十四五”规划的各项任务和目标。</w:t>
      </w:r>
    </w:p>
    <w:p>
      <w:pPr>
        <w:keepNext/>
        <w:keepLines/>
        <w:ind w:firstLine="643"/>
        <w:outlineLvl w:val="1"/>
        <w:rPr>
          <w:rFonts w:ascii="楷体" w:hAnsi="楷体" w:eastAsia="楷体"/>
          <w:b/>
          <w:szCs w:val="32"/>
        </w:rPr>
      </w:pPr>
      <w:bookmarkStart w:id="149" w:name="_Toc440357957"/>
      <w:bookmarkStart w:id="150" w:name="_Toc48224418"/>
      <w:r>
        <w:rPr>
          <w:rFonts w:hint="eastAsia" w:ascii="楷体" w:hAnsi="楷体" w:eastAsia="楷体"/>
          <w:b/>
          <w:szCs w:val="32"/>
        </w:rPr>
        <w:t>一、强化组织</w:t>
      </w:r>
      <w:bookmarkEnd w:id="149"/>
      <w:r>
        <w:rPr>
          <w:rFonts w:hint="eastAsia" w:ascii="楷体" w:hAnsi="楷体" w:eastAsia="楷体"/>
          <w:b/>
          <w:szCs w:val="32"/>
        </w:rPr>
        <w:t>保障</w:t>
      </w:r>
      <w:bookmarkEnd w:id="150"/>
    </w:p>
    <w:p>
      <w:pPr>
        <w:ind w:firstLine="643"/>
        <w:rPr>
          <w:rFonts w:ascii="仿宋_GB2312" w:hAnsi="仿宋"/>
          <w:snapToGrid w:val="0"/>
          <w:szCs w:val="32"/>
        </w:rPr>
      </w:pPr>
      <w:r>
        <w:rPr>
          <w:rFonts w:hint="eastAsia" w:ascii="仿宋_GB2312" w:hAnsi="仿宋" w:cs="仿宋_GB2312"/>
          <w:b/>
          <w:szCs w:val="32"/>
        </w:rPr>
        <w:t>加强党的领导。</w:t>
      </w:r>
      <w:r>
        <w:rPr>
          <w:rFonts w:hint="eastAsia" w:ascii="仿宋_GB2312" w:hAnsi="仿宋"/>
          <w:snapToGrid w:val="0"/>
          <w:szCs w:val="32"/>
        </w:rPr>
        <w:t>以加强党的执政能力和先进性为主线，坚持党总揽全局、协调各方的核心作用，提升党领导经济社会发展能力和水平。加强领导干部队伍建设和能力培养，增强新形势下应急管理、舆论引导、新兴媒体运用等方面能力。进一步加强党风廉政建设和智慧党建建设，为东丽区实现“十四五”目标营造良好环境氛围。</w:t>
      </w:r>
    </w:p>
    <w:p>
      <w:pPr>
        <w:ind w:firstLine="643"/>
        <w:rPr>
          <w:rFonts w:ascii="仿宋_GB2312" w:hAnsi="仿宋"/>
          <w:snapToGrid w:val="0"/>
          <w:szCs w:val="32"/>
        </w:rPr>
      </w:pPr>
      <w:r>
        <w:rPr>
          <w:rFonts w:hint="eastAsia" w:ascii="仿宋_GB2312" w:hAnsi="仿宋" w:cs="仿宋_GB2312"/>
          <w:b/>
          <w:szCs w:val="32"/>
        </w:rPr>
        <w:t>成立领导小组。</w:t>
      </w:r>
      <w:r>
        <w:rPr>
          <w:rFonts w:hint="eastAsia" w:ascii="仿宋_GB2312" w:hAnsi="仿宋"/>
          <w:snapToGrid w:val="0"/>
          <w:szCs w:val="32"/>
        </w:rPr>
        <w:t>成立东丽区“十四五”规划实施领导小组，对规划重大项目和有关问题进行科学部署和决策。聘请国内知名研究专家、东丽区企业家、重点行业协会负责人等成立东丽区“十四五”经济社会发展专家咨询委员会。落实定期会议制度，召开产业发展、科技创新、城市建设等专题会议，对重大战略问题和重点建设项目进行深入研讨。</w:t>
      </w:r>
    </w:p>
    <w:p>
      <w:pPr>
        <w:ind w:firstLine="643"/>
        <w:rPr>
          <w:rFonts w:ascii="仿宋_GB2312" w:hAnsi="仿宋"/>
          <w:snapToGrid w:val="0"/>
          <w:szCs w:val="32"/>
        </w:rPr>
      </w:pPr>
      <w:r>
        <w:rPr>
          <w:rFonts w:hint="eastAsia" w:ascii="仿宋_GB2312" w:hAnsi="楷体"/>
          <w:b/>
          <w:szCs w:val="32"/>
        </w:rPr>
        <w:t>加强部门协调。</w:t>
      </w:r>
      <w:r>
        <w:rPr>
          <w:rFonts w:hint="eastAsia" w:ascii="仿宋_GB2312" w:hAnsi="仿宋"/>
          <w:snapToGrid w:val="0"/>
          <w:szCs w:val="32"/>
        </w:rPr>
        <w:t>坚持实行“谁主办、谁负责”的工作原则，厘清各部门工作职责，强化各部门责任意识。建立完善部门间工作协商机制，打通部门之间针对重大问题的研究、沟通、合作渠道，保证各项发展规划和行动方案的顺利落实。建立完善市区统筹协调机制，协同市级有关部门落实各项专项改革工作。</w:t>
      </w:r>
    </w:p>
    <w:p>
      <w:pPr>
        <w:ind w:firstLine="643"/>
        <w:rPr>
          <w:rFonts w:ascii="仿宋_GB2312" w:hAnsi="仿宋"/>
          <w:snapToGrid w:val="0"/>
          <w:szCs w:val="32"/>
        </w:rPr>
      </w:pPr>
      <w:r>
        <w:rPr>
          <w:rFonts w:hint="eastAsia" w:ascii="仿宋_GB2312" w:hAnsi="楷体"/>
          <w:b/>
          <w:szCs w:val="32"/>
        </w:rPr>
        <w:t>加强监测评估。</w:t>
      </w:r>
      <w:bookmarkStart w:id="151" w:name="_Toc440357959"/>
      <w:bookmarkStart w:id="152" w:name="_Toc440357958"/>
      <w:r>
        <w:rPr>
          <w:rFonts w:hint="eastAsia" w:ascii="仿宋_GB2312" w:hAnsi="仿宋"/>
          <w:snapToGrid w:val="0"/>
          <w:szCs w:val="32"/>
        </w:rPr>
        <w:t>制定规划考核体系，制定年度工作分解计划，明确工作完成时限及责任人，工作落实情况考核结果与个人绩效挂钩。在规划实施的中期阶段，由区政府组织开展全面评估，向区人大常委会提交中期评估报告。需要对本规划纲要进行修订时，由区政府提出修订方案，报请区人大常委会审议批准。</w:t>
      </w:r>
    </w:p>
    <w:p>
      <w:pPr>
        <w:keepNext/>
        <w:keepLines/>
        <w:ind w:firstLine="643"/>
        <w:outlineLvl w:val="1"/>
        <w:rPr>
          <w:rFonts w:ascii="楷体" w:hAnsi="楷体" w:eastAsia="楷体"/>
          <w:b/>
          <w:szCs w:val="32"/>
        </w:rPr>
      </w:pPr>
      <w:bookmarkStart w:id="153" w:name="_Toc48224419"/>
      <w:r>
        <w:rPr>
          <w:rFonts w:hint="eastAsia" w:ascii="楷体" w:hAnsi="楷体" w:eastAsia="楷体"/>
          <w:b/>
          <w:szCs w:val="32"/>
        </w:rPr>
        <w:t>二、加大资金</w:t>
      </w:r>
      <w:bookmarkEnd w:id="151"/>
      <w:r>
        <w:rPr>
          <w:rFonts w:hint="eastAsia" w:ascii="楷体" w:hAnsi="楷体" w:eastAsia="楷体"/>
          <w:b/>
          <w:szCs w:val="32"/>
        </w:rPr>
        <w:t>投入</w:t>
      </w:r>
      <w:bookmarkEnd w:id="153"/>
    </w:p>
    <w:p>
      <w:pPr>
        <w:ind w:firstLine="643"/>
        <w:rPr>
          <w:rFonts w:ascii="仿宋_GB2312" w:hAnsi="仿宋"/>
          <w:snapToGrid w:val="0"/>
          <w:szCs w:val="32"/>
        </w:rPr>
      </w:pPr>
      <w:r>
        <w:rPr>
          <w:rFonts w:hint="eastAsia" w:ascii="仿宋_GB2312" w:hAnsi="仿宋" w:cs="仿宋_GB2312"/>
          <w:b/>
          <w:szCs w:val="32"/>
        </w:rPr>
        <w:t>加强财政资金支持。</w:t>
      </w:r>
      <w:r>
        <w:rPr>
          <w:rFonts w:hint="eastAsia" w:ascii="仿宋_GB2312" w:hAnsi="仿宋"/>
          <w:snapToGrid w:val="0"/>
          <w:szCs w:val="32"/>
        </w:rPr>
        <w:t>充分发挥财政资金的引导作用，鼓励社会投资向支撑规划实施的关键领域和重点项目聚集。积极争取国家相关部委有关重大计划、专项资金、发展基金支持，加快重点产业和项目在经济社会领域的示范应用。加强财政资金监管，跟踪财政资金使用绩效，力求资金使用效益最大化。</w:t>
      </w:r>
    </w:p>
    <w:p>
      <w:pPr>
        <w:ind w:firstLine="643"/>
        <w:rPr>
          <w:rFonts w:ascii="仿宋_GB2312" w:hAnsi="仿宋"/>
          <w:snapToGrid w:val="0"/>
          <w:szCs w:val="32"/>
        </w:rPr>
      </w:pPr>
      <w:r>
        <w:rPr>
          <w:rFonts w:hint="eastAsia" w:ascii="仿宋_GB2312" w:hAnsi="仿宋" w:cs="仿宋_GB2312"/>
          <w:b/>
          <w:szCs w:val="32"/>
        </w:rPr>
        <w:t>设立</w:t>
      </w:r>
      <w:bookmarkStart w:id="154" w:name="_Hlk37404418"/>
      <w:r>
        <w:rPr>
          <w:rFonts w:hint="eastAsia" w:ascii="仿宋_GB2312" w:hAnsi="仿宋" w:cs="仿宋_GB2312"/>
          <w:b/>
          <w:szCs w:val="32"/>
        </w:rPr>
        <w:t>产业发展和创新创业</w:t>
      </w:r>
      <w:bookmarkEnd w:id="154"/>
      <w:r>
        <w:rPr>
          <w:rFonts w:hint="eastAsia" w:ascii="仿宋_GB2312" w:hAnsi="仿宋" w:cs="仿宋_GB2312"/>
          <w:b/>
          <w:szCs w:val="32"/>
        </w:rPr>
        <w:t>专项资金。</w:t>
      </w:r>
      <w:r>
        <w:rPr>
          <w:rFonts w:hint="eastAsia" w:ascii="仿宋_GB2312" w:hAnsi="仿宋"/>
          <w:snapToGrid w:val="0"/>
          <w:szCs w:val="32"/>
        </w:rPr>
        <w:t>由区财政专门设立产业发展和创新创业专项资金，发挥财政资金的政策导向性作用，通过政府采购支持、设立引导基金等形式，撬动社会资本力量，为产业发展提供多元化支持。专项资金主要用于“</w:t>
      </w:r>
      <w:r>
        <w:rPr>
          <w:snapToGrid w:val="0"/>
          <w:szCs w:val="32"/>
        </w:rPr>
        <w:t>311</w:t>
      </w:r>
      <w:r>
        <w:rPr>
          <w:rFonts w:hint="eastAsia" w:ascii="仿宋_GB2312" w:hAnsi="仿宋"/>
          <w:snapToGrid w:val="0"/>
          <w:szCs w:val="32"/>
        </w:rPr>
        <w:t>”产业体系发展和创新创业生态建设，重点对产业项目引进、企业扶持培育、高层次人才引育、创新创业服务体系建设等进行资金支持。</w:t>
      </w:r>
    </w:p>
    <w:bookmarkEnd w:id="152"/>
    <w:p>
      <w:pPr>
        <w:keepNext/>
        <w:keepLines/>
        <w:ind w:firstLine="643"/>
        <w:outlineLvl w:val="1"/>
        <w:rPr>
          <w:rFonts w:ascii="楷体" w:hAnsi="楷体" w:eastAsia="楷体"/>
          <w:b/>
          <w:szCs w:val="32"/>
        </w:rPr>
      </w:pPr>
      <w:bookmarkStart w:id="155" w:name="_Toc440357960"/>
      <w:bookmarkStart w:id="156" w:name="_Toc48224420"/>
      <w:r>
        <w:rPr>
          <w:rFonts w:hint="eastAsia" w:ascii="楷体" w:hAnsi="楷体" w:eastAsia="楷体"/>
          <w:b/>
          <w:szCs w:val="32"/>
        </w:rPr>
        <w:t>三、</w:t>
      </w:r>
      <w:bookmarkEnd w:id="155"/>
      <w:r>
        <w:rPr>
          <w:rFonts w:hint="eastAsia" w:ascii="楷体" w:hAnsi="楷体" w:eastAsia="楷体"/>
          <w:b/>
          <w:szCs w:val="32"/>
        </w:rPr>
        <w:t>健全政策体系</w:t>
      </w:r>
      <w:bookmarkEnd w:id="156"/>
    </w:p>
    <w:p>
      <w:pPr>
        <w:ind w:firstLine="643"/>
        <w:rPr>
          <w:rFonts w:ascii="仿宋_GB2312" w:hAnsi="仿宋"/>
          <w:snapToGrid w:val="0"/>
          <w:szCs w:val="32"/>
        </w:rPr>
      </w:pPr>
      <w:r>
        <w:rPr>
          <w:rFonts w:hint="eastAsia" w:ascii="仿宋_GB2312" w:hAnsi="仿宋"/>
          <w:b/>
          <w:snapToGrid w:val="0"/>
          <w:szCs w:val="32"/>
        </w:rPr>
        <w:t>创新政策制定机制</w:t>
      </w:r>
      <w:r>
        <w:rPr>
          <w:rFonts w:hint="eastAsia" w:ascii="仿宋_GB2312" w:hAnsi="仿宋"/>
          <w:snapToGrid w:val="0"/>
          <w:szCs w:val="32"/>
        </w:rPr>
        <w:t>。明确“以战略定工作，以工作定政策，以政策定资金”顶层设计理念，从东丽政策需求出发开展政策体系完善工作。立足既有政策构建“综合政策</w:t>
      </w:r>
      <w:r>
        <w:rPr>
          <w:rFonts w:ascii="仿宋_GB2312" w:hAnsi="仿宋"/>
          <w:snapToGrid w:val="0"/>
          <w:szCs w:val="32"/>
        </w:rPr>
        <w:t>-专项政</w:t>
      </w:r>
      <w:r>
        <w:rPr>
          <w:rFonts w:hint="eastAsia" w:ascii="仿宋_GB2312" w:hAnsi="仿宋"/>
          <w:snapToGrid w:val="0"/>
          <w:szCs w:val="32"/>
        </w:rPr>
        <w:t>策</w:t>
      </w:r>
      <w:r>
        <w:rPr>
          <w:rFonts w:ascii="仿宋_GB2312" w:hAnsi="仿宋"/>
          <w:snapToGrid w:val="0"/>
          <w:szCs w:val="32"/>
        </w:rPr>
        <w:t>-实施意见和细则”体系。以尊重市场发展规律为前提，探索建立市区联动的政策创新机制，支持企业、高职院校、科研院所、中介机构、社会组织等多方参与政策制定。</w:t>
      </w:r>
    </w:p>
    <w:p>
      <w:pPr>
        <w:ind w:firstLine="643"/>
        <w:rPr>
          <w:rFonts w:ascii="仿宋_GB2312" w:hAnsi="仿宋"/>
          <w:snapToGrid w:val="0"/>
          <w:szCs w:val="32"/>
        </w:rPr>
      </w:pPr>
      <w:r>
        <w:rPr>
          <w:rFonts w:hint="eastAsia" w:ascii="仿宋_GB2312" w:hAnsi="仿宋" w:cs="仿宋_GB2312"/>
          <w:b/>
          <w:szCs w:val="32"/>
        </w:rPr>
        <w:t>完善政策体系设计。</w:t>
      </w:r>
      <w:r>
        <w:rPr>
          <w:rFonts w:hint="eastAsia" w:ascii="仿宋_GB2312" w:hAnsi="仿宋"/>
          <w:snapToGrid w:val="0"/>
          <w:szCs w:val="32"/>
        </w:rPr>
        <w:t>完善产业政策和创新政策，引导产业合理布局，促进企业创新发展。完善招商政策，建立部门协调联动机制，促进适宜东丽区产业发展方向的产业项目快落地、快建设。完善金融政策，支持新产业、新业态、新模式重点项目建设，支持大中小企业发展。完善投资政策，支持新型基础设施建设和社会公益事业发展。</w:t>
      </w:r>
    </w:p>
    <w:p>
      <w:pPr>
        <w:keepNext/>
        <w:keepLines/>
        <w:ind w:firstLine="643"/>
        <w:outlineLvl w:val="1"/>
        <w:rPr>
          <w:rFonts w:ascii="楷体" w:hAnsi="楷体" w:eastAsia="楷体"/>
          <w:b/>
          <w:szCs w:val="32"/>
        </w:rPr>
      </w:pPr>
      <w:bookmarkStart w:id="157" w:name="_Toc48224421"/>
      <w:r>
        <w:rPr>
          <w:rFonts w:hint="eastAsia" w:ascii="楷体" w:hAnsi="楷体" w:eastAsia="楷体"/>
          <w:b/>
          <w:szCs w:val="32"/>
        </w:rPr>
        <w:t>四、加强项目支撑</w:t>
      </w:r>
      <w:bookmarkEnd w:id="157"/>
    </w:p>
    <w:p>
      <w:pPr>
        <w:ind w:firstLine="643"/>
        <w:rPr>
          <w:rFonts w:ascii="仿宋_GB2312" w:hAnsi="仿宋" w:cs="仿宋_GB2312"/>
          <w:bCs/>
          <w:szCs w:val="32"/>
        </w:rPr>
      </w:pPr>
      <w:r>
        <w:rPr>
          <w:rFonts w:hint="eastAsia" w:ascii="仿宋_GB2312" w:hAnsi="仿宋" w:cs="仿宋_GB2312"/>
          <w:b/>
          <w:szCs w:val="32"/>
        </w:rPr>
        <w:t>科学谋划重大项目。</w:t>
      </w:r>
      <w:r>
        <w:rPr>
          <w:rFonts w:hint="eastAsia" w:ascii="仿宋_GB2312" w:hAnsi="仿宋" w:cs="仿宋_GB2312"/>
          <w:bCs/>
          <w:szCs w:val="32"/>
        </w:rPr>
        <w:t>坚持以规划确定项目、以项目落实规划，围绕产业发展、科技创新、城市建设、绿色生态等重点领域，组织实施好一批关系全局和长远发展的重大项目。优化重大项目投资领域和区域布局，保持投资规模稳步较快增长。“十四五”期间，规划建设六大类重点项目</w:t>
      </w:r>
      <w:r>
        <w:rPr>
          <w:rFonts w:cs="仿宋_GB2312"/>
          <w:bCs/>
          <w:szCs w:val="32"/>
        </w:rPr>
        <w:t>208</w:t>
      </w:r>
      <w:r>
        <w:rPr>
          <w:rFonts w:hint="eastAsia" w:ascii="仿宋_GB2312" w:hAnsi="仿宋" w:cs="仿宋_GB2312"/>
          <w:bCs/>
          <w:szCs w:val="32"/>
        </w:rPr>
        <w:t>个。</w:t>
      </w:r>
    </w:p>
    <w:p>
      <w:pPr>
        <w:ind w:firstLine="643"/>
        <w:rPr>
          <w:rFonts w:ascii="仿宋_GB2312" w:hAnsi="仿宋" w:cs="仿宋_GB2312"/>
          <w:bCs/>
          <w:szCs w:val="32"/>
        </w:rPr>
      </w:pPr>
      <w:r>
        <w:rPr>
          <w:rFonts w:ascii="仿宋_GB2312" w:hAnsi="仿宋" w:cs="仿宋_GB2312"/>
          <w:b/>
          <w:szCs w:val="32"/>
        </w:rPr>
        <w:t>加强重大项目管理。</w:t>
      </w:r>
      <w:r>
        <w:rPr>
          <w:rFonts w:hint="eastAsia" w:ascii="仿宋_GB2312" w:hAnsi="仿宋" w:cs="仿宋_GB2312"/>
          <w:bCs/>
          <w:szCs w:val="32"/>
        </w:rPr>
        <w:t>完善重大项目储备机制，建立“重大培育项目、重大前期项目、重大建设项目”的三级梯度管理，做到规划一批、储备一批、建设一批、投产一批。强化重大项目前期论证，完善重大项目联动协调机制，加快项目落地。健全政府投资管理制度，强化项目监管，完善后评价制度，提高政府投资管理水平和投资效益。</w:t>
      </w:r>
      <w:bookmarkEnd w:id="59"/>
    </w:p>
    <w:p>
      <w:pPr>
        <w:widowControl/>
        <w:spacing w:line="240" w:lineRule="auto"/>
        <w:ind w:firstLine="0" w:firstLineChars="0"/>
        <w:jc w:val="left"/>
        <w:rPr>
          <w:rFonts w:ascii="黑体" w:hAnsi="黑体" w:eastAsia="黑体" w:cs="Times New Roman"/>
          <w:b/>
          <w:spacing w:val="-4"/>
          <w:kern w:val="44"/>
          <w:sz w:val="36"/>
          <w:szCs w:val="36"/>
        </w:rPr>
      </w:pPr>
      <w:r>
        <w:rPr>
          <w:rFonts w:ascii="黑体" w:hAnsi="黑体" w:eastAsia="黑体" w:cs="Times New Roman"/>
          <w:b/>
          <w:spacing w:val="-4"/>
          <w:kern w:val="44"/>
          <w:sz w:val="36"/>
          <w:szCs w:val="36"/>
        </w:rPr>
        <w:br w:type="page"/>
      </w:r>
    </w:p>
    <w:p>
      <w:pPr>
        <w:pStyle w:val="2"/>
        <w:jc w:val="left"/>
        <w:rPr>
          <w:sz w:val="32"/>
        </w:rPr>
      </w:pPr>
      <w:bookmarkStart w:id="158" w:name="_Toc38286690"/>
      <w:bookmarkStart w:id="159" w:name="_Toc48224422"/>
      <w:r>
        <w:rPr>
          <w:rFonts w:hint="eastAsia"/>
          <w:sz w:val="32"/>
        </w:rPr>
        <w:t>附件</w:t>
      </w:r>
      <w:bookmarkEnd w:id="158"/>
      <w:r>
        <w:rPr>
          <w:rFonts w:hint="eastAsia"/>
          <w:sz w:val="32"/>
        </w:rPr>
        <w:t>一</w:t>
      </w:r>
      <w:r>
        <w:rPr>
          <w:sz w:val="32"/>
        </w:rPr>
        <w:t xml:space="preserve"> </w:t>
      </w:r>
      <w:r>
        <w:rPr>
          <w:rFonts w:hint="eastAsia"/>
          <w:sz w:val="32"/>
        </w:rPr>
        <w:t>东丽区“十四五”时期经济和社会发展指标体系</w:t>
      </w:r>
      <w:bookmarkEnd w:id="159"/>
    </w:p>
    <w:tbl>
      <w:tblPr>
        <w:tblStyle w:val="14"/>
        <w:tblW w:w="5123" w:type="pct"/>
        <w:tblInd w:w="0" w:type="dxa"/>
        <w:tblLayout w:type="fixed"/>
        <w:tblCellMar>
          <w:top w:w="0" w:type="dxa"/>
          <w:left w:w="108" w:type="dxa"/>
          <w:bottom w:w="0" w:type="dxa"/>
          <w:right w:w="108" w:type="dxa"/>
        </w:tblCellMar>
      </w:tblPr>
      <w:tblGrid>
        <w:gridCol w:w="726"/>
        <w:gridCol w:w="3490"/>
        <w:gridCol w:w="1313"/>
        <w:gridCol w:w="1018"/>
        <w:gridCol w:w="1020"/>
        <w:gridCol w:w="1165"/>
      </w:tblGrid>
      <w:tr>
        <w:tblPrEx>
          <w:tblCellMar>
            <w:top w:w="0" w:type="dxa"/>
            <w:left w:w="108" w:type="dxa"/>
            <w:bottom w:w="0" w:type="dxa"/>
            <w:right w:w="108" w:type="dxa"/>
          </w:tblCellMar>
        </w:tblPrEx>
        <w:trPr>
          <w:trHeight w:val="300" w:hRule="atLeast"/>
        </w:trPr>
        <w:tc>
          <w:tcPr>
            <w:tcW w:w="41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大类</w:t>
            </w:r>
          </w:p>
        </w:tc>
        <w:tc>
          <w:tcPr>
            <w:tcW w:w="199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指标名称</w:t>
            </w:r>
          </w:p>
        </w:tc>
        <w:tc>
          <w:tcPr>
            <w:tcW w:w="752"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cs="宋体"/>
                <w:b/>
                <w:bCs/>
                <w:kern w:val="0"/>
                <w:sz w:val="24"/>
                <w:szCs w:val="24"/>
              </w:rPr>
              <w:t>2019</w:t>
            </w:r>
          </w:p>
        </w:tc>
        <w:tc>
          <w:tcPr>
            <w:tcW w:w="583"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cs="宋体"/>
                <w:b/>
                <w:bCs/>
                <w:kern w:val="0"/>
                <w:sz w:val="24"/>
                <w:szCs w:val="24"/>
              </w:rPr>
              <w:t>2023</w:t>
            </w:r>
          </w:p>
        </w:tc>
        <w:tc>
          <w:tcPr>
            <w:tcW w:w="584"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cs="宋体"/>
                <w:b/>
                <w:bCs/>
                <w:kern w:val="0"/>
                <w:sz w:val="24"/>
                <w:szCs w:val="24"/>
              </w:rPr>
              <w:t>2025</w:t>
            </w:r>
          </w:p>
        </w:tc>
        <w:tc>
          <w:tcPr>
            <w:tcW w:w="668"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年均±</w:t>
            </w:r>
          </w:p>
        </w:tc>
      </w:tr>
      <w:tr>
        <w:tblPrEx>
          <w:tblCellMar>
            <w:top w:w="0" w:type="dxa"/>
            <w:left w:w="108" w:type="dxa"/>
            <w:bottom w:w="0" w:type="dxa"/>
            <w:right w:w="108" w:type="dxa"/>
          </w:tblCellMar>
        </w:tblPrEx>
        <w:trPr>
          <w:trHeight w:val="300"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经济发展</w:t>
            </w: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地区生产总值增速（%）</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w:t>
            </w:r>
            <w:r>
              <w:rPr>
                <w:rFonts w:hint="eastAsia"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6%-7%</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rPr>
                <w:rFonts w:ascii="仿宋_GB2312" w:hAnsi="宋体" w:cs="宋体"/>
                <w:kern w:val="0"/>
                <w:sz w:val="24"/>
                <w:szCs w:val="24"/>
              </w:rPr>
            </w:pPr>
            <w:r>
              <w:rPr>
                <w:rFonts w:cs="宋体"/>
                <w:kern w:val="0"/>
                <w:sz w:val="24"/>
                <w:szCs w:val="24"/>
              </w:rPr>
              <w:t>6%-7%</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6%-7%</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全社会固定资产投资总额（亿元）</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299</w:t>
            </w:r>
            <w:r>
              <w:rPr>
                <w:rFonts w:ascii="仿宋_GB2312" w:hAnsi="宋体" w:cs="宋体"/>
                <w:kern w:val="0"/>
                <w:sz w:val="24"/>
                <w:szCs w:val="24"/>
              </w:rPr>
              <w:t>.</w:t>
            </w:r>
            <w:r>
              <w:rPr>
                <w:rFonts w:cs="宋体"/>
                <w:kern w:val="0"/>
                <w:sz w:val="24"/>
                <w:szCs w:val="24"/>
              </w:rPr>
              <w:t>3</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750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1100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25</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一般公共预算收入（亿元）</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63</w:t>
            </w:r>
            <w:r>
              <w:rPr>
                <w:rFonts w:ascii="仿宋_GB2312" w:hAnsi="宋体" w:cs="宋体"/>
                <w:kern w:val="0"/>
                <w:sz w:val="24"/>
                <w:szCs w:val="24"/>
              </w:rPr>
              <w:t>.</w:t>
            </w:r>
            <w:r>
              <w:rPr>
                <w:rFonts w:cs="宋体"/>
                <w:kern w:val="0"/>
                <w:sz w:val="24"/>
                <w:szCs w:val="24"/>
              </w:rPr>
              <w:t>2</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8</w:t>
            </w:r>
            <w:r>
              <w:rPr>
                <w:rFonts w:ascii="仿宋_GB2312" w:hAnsi="宋体" w:cs="宋体"/>
                <w:kern w:val="0"/>
                <w:sz w:val="24"/>
                <w:szCs w:val="24"/>
              </w:rPr>
              <w:t>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9</w:t>
            </w:r>
            <w:r>
              <w:rPr>
                <w:rFonts w:ascii="仿宋_GB2312" w:hAnsi="宋体" w:cs="宋体"/>
                <w:kern w:val="0"/>
                <w:sz w:val="24"/>
                <w:szCs w:val="24"/>
              </w:rPr>
              <w:t>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w:t>
            </w:r>
            <w:r>
              <w:rPr>
                <w:rFonts w:hint="eastAsia"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地均产出（亿元</w:t>
            </w:r>
            <w:r>
              <w:rPr>
                <w:rFonts w:ascii="仿宋_GB2312" w:hAnsi="宋体" w:cs="宋体"/>
                <w:kern w:val="0"/>
                <w:sz w:val="24"/>
                <w:szCs w:val="24"/>
              </w:rPr>
              <w:t>/平方公里）</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w:t>
            </w:r>
            <w:r>
              <w:rPr>
                <w:rFonts w:ascii="仿宋_GB2312" w:hAnsi="宋体" w:cs="宋体"/>
                <w:kern w:val="0"/>
                <w:sz w:val="24"/>
                <w:szCs w:val="24"/>
              </w:rPr>
              <w:t>.</w:t>
            </w:r>
            <w:r>
              <w:rPr>
                <w:rFonts w:cs="宋体"/>
                <w:kern w:val="0"/>
                <w:sz w:val="24"/>
                <w:szCs w:val="24"/>
              </w:rPr>
              <w:t>9</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w:t>
            </w:r>
            <w:r>
              <w:rPr>
                <w:rFonts w:ascii="仿宋_GB2312" w:hAnsi="宋体" w:cs="宋体"/>
                <w:kern w:val="0"/>
                <w:sz w:val="24"/>
                <w:szCs w:val="24"/>
              </w:rPr>
              <w:t>.</w:t>
            </w:r>
            <w:r>
              <w:rPr>
                <w:rFonts w:cs="宋体"/>
                <w:kern w:val="0"/>
                <w:sz w:val="24"/>
                <w:szCs w:val="24"/>
              </w:rPr>
              <w:t>4</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2.9</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6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工业战略新兴产业增加值占规模以上工业增加值比重（</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28</w:t>
            </w:r>
            <w:r>
              <w:rPr>
                <w:rFonts w:ascii="仿宋_GB2312" w:hAnsi="宋体" w:cs="宋体"/>
                <w:kern w:val="0"/>
                <w:sz w:val="24"/>
                <w:szCs w:val="24"/>
              </w:rPr>
              <w:t>.</w:t>
            </w:r>
            <w:r>
              <w:rPr>
                <w:rFonts w:cs="宋体"/>
                <w:kern w:val="0"/>
                <w:sz w:val="24"/>
                <w:szCs w:val="24"/>
              </w:rPr>
              <w:t>4</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36</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17</w:t>
            </w:r>
            <w:r>
              <w:rPr>
                <w:rFonts w:ascii="仿宋_GB2312" w:hAnsi="宋体" w:cs="宋体"/>
                <w:kern w:val="0"/>
                <w:sz w:val="24"/>
                <w:szCs w:val="24"/>
              </w:rPr>
              <w:t>%]</w:t>
            </w:r>
          </w:p>
        </w:tc>
      </w:tr>
      <w:tr>
        <w:tblPrEx>
          <w:tblCellMar>
            <w:top w:w="0" w:type="dxa"/>
            <w:left w:w="108" w:type="dxa"/>
            <w:bottom w:w="0" w:type="dxa"/>
            <w:right w:w="108" w:type="dxa"/>
          </w:tblCellMar>
        </w:tblPrEx>
        <w:trPr>
          <w:trHeight w:val="6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高技术制造业增加值占工业增加值比重（</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9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高技术服务业增加值及以互联网和相关服务业为代表的现代新兴服务业增加值占服务业增加值比重（</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服务业增加值占地区生产总值比重（</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59</w:t>
            </w:r>
            <w:r>
              <w:rPr>
                <w:rFonts w:ascii="仿宋_GB2312" w:hAnsi="宋体" w:cs="宋体"/>
                <w:kern w:val="0"/>
                <w:sz w:val="24"/>
                <w:szCs w:val="24"/>
              </w:rPr>
              <w:t>.</w:t>
            </w:r>
            <w:r>
              <w:rPr>
                <w:rFonts w:cs="宋体"/>
                <w:kern w:val="0"/>
                <w:sz w:val="24"/>
                <w:szCs w:val="24"/>
              </w:rPr>
              <w:t>2</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63</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6</w:t>
            </w:r>
            <w:r>
              <w:rPr>
                <w:rFonts w:ascii="仿宋_GB2312" w:hAnsi="宋体" w:cs="宋体"/>
                <w:kern w:val="0"/>
                <w:sz w:val="24"/>
                <w:szCs w:val="24"/>
              </w:rPr>
              <w:t>%]</w:t>
            </w:r>
          </w:p>
        </w:tc>
      </w:tr>
      <w:tr>
        <w:tblPrEx>
          <w:tblCellMar>
            <w:top w:w="0" w:type="dxa"/>
            <w:left w:w="108" w:type="dxa"/>
            <w:bottom w:w="0" w:type="dxa"/>
            <w:right w:w="108" w:type="dxa"/>
          </w:tblCellMar>
        </w:tblPrEx>
        <w:trPr>
          <w:trHeight w:val="6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民营经济增加值及占地区生产总值比重（亿元</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268</w:t>
            </w:r>
            <w:r>
              <w:rPr>
                <w:rFonts w:ascii="仿宋_GB2312" w:hAnsi="宋体" w:cs="宋体"/>
                <w:kern w:val="0"/>
                <w:sz w:val="24"/>
                <w:szCs w:val="24"/>
              </w:rPr>
              <w:t>.</w:t>
            </w:r>
            <w:r>
              <w:rPr>
                <w:rFonts w:cs="宋体"/>
                <w:kern w:val="0"/>
                <w:sz w:val="24"/>
                <w:szCs w:val="24"/>
              </w:rPr>
              <w:t>1</w:t>
            </w:r>
            <w:r>
              <w:rPr>
                <w:rFonts w:ascii="仿宋_GB2312" w:hAnsi="宋体" w:cs="宋体"/>
                <w:kern w:val="0"/>
                <w:sz w:val="24"/>
                <w:szCs w:val="24"/>
              </w:rPr>
              <w:t>/</w:t>
            </w:r>
          </w:p>
          <w:p>
            <w:pPr>
              <w:widowControl/>
              <w:spacing w:line="240" w:lineRule="auto"/>
              <w:ind w:firstLine="0" w:firstLineChars="0"/>
              <w:jc w:val="center"/>
              <w:rPr>
                <w:rFonts w:ascii="仿宋_GB2312" w:hAnsi="宋体" w:cs="宋体"/>
                <w:kern w:val="0"/>
                <w:sz w:val="24"/>
                <w:szCs w:val="24"/>
              </w:rPr>
            </w:pPr>
            <w:r>
              <w:rPr>
                <w:rFonts w:cs="宋体"/>
                <w:kern w:val="0"/>
                <w:sz w:val="24"/>
                <w:szCs w:val="24"/>
              </w:rPr>
              <w:t>41</w:t>
            </w:r>
            <w:r>
              <w:rPr>
                <w:rFonts w:ascii="仿宋_GB2312" w:hAnsi="宋体" w:cs="宋体"/>
                <w:kern w:val="0"/>
                <w:sz w:val="24"/>
                <w:szCs w:val="24"/>
              </w:rPr>
              <w:t>.</w:t>
            </w:r>
            <w:r>
              <w:rPr>
                <w:rFonts w:cs="宋体"/>
                <w:kern w:val="0"/>
                <w:sz w:val="24"/>
                <w:szCs w:val="24"/>
              </w:rPr>
              <w:t>1</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440</w:t>
            </w:r>
            <w:r>
              <w:rPr>
                <w:rFonts w:ascii="仿宋_GB2312" w:hAnsi="宋体" w:cs="宋体"/>
                <w:kern w:val="0"/>
                <w:sz w:val="24"/>
                <w:szCs w:val="24"/>
              </w:rPr>
              <w:t>/</w:t>
            </w:r>
            <w:r>
              <w:rPr>
                <w:rFonts w:cs="宋体"/>
                <w:kern w:val="0"/>
                <w:sz w:val="24"/>
                <w:szCs w:val="24"/>
              </w:rPr>
              <w:t>50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550</w:t>
            </w:r>
            <w:r>
              <w:rPr>
                <w:rFonts w:ascii="仿宋_GB2312" w:hAnsi="宋体" w:cs="宋体"/>
                <w:kern w:val="0"/>
                <w:sz w:val="24"/>
                <w:szCs w:val="24"/>
              </w:rPr>
              <w:t>/</w:t>
            </w:r>
            <w:r>
              <w:rPr>
                <w:rFonts w:cs="宋体"/>
                <w:kern w:val="0"/>
                <w:sz w:val="24"/>
                <w:szCs w:val="24"/>
              </w:rPr>
              <w:t>55%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百亿级产业集群数（个）</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w:t>
            </w:r>
            <w:r>
              <w:rPr>
                <w:rStyle w:val="19"/>
                <w:rFonts w:ascii="仿宋_GB2312" w:hAnsi="宋体" w:cs="宋体"/>
                <w:kern w:val="0"/>
                <w:sz w:val="24"/>
                <w:szCs w:val="24"/>
              </w:rPr>
              <w:footnoteReference w:id="2"/>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50</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年销售收入过十亿元企业数（家）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22</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26</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28</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27</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科技创新</w:t>
            </w: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国家级高新技术企业数量（家）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323</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470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610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88</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科技型上市企业数（家）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国家科技型中小企业数量（家）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432</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550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39</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科技领军（培育）企业数量（家）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瞪羚企业数量（家）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18</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26</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67</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雏鹰企业数量（家）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102</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200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250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150</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平台型企业及服务组织数量（家）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6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全社会研发经费支出占地区生产总值比重（</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w:t>
            </w:r>
            <w:r>
              <w:rPr>
                <w:rFonts w:ascii="仿宋_GB2312" w:hAnsi="宋体" w:cs="宋体"/>
                <w:kern w:val="0"/>
                <w:sz w:val="24"/>
                <w:szCs w:val="24"/>
              </w:rPr>
              <w:t>.</w:t>
            </w:r>
            <w:r>
              <w:rPr>
                <w:rFonts w:cs="宋体"/>
                <w:kern w:val="0"/>
                <w:sz w:val="24"/>
                <w:szCs w:val="24"/>
              </w:rPr>
              <w:t>4</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w:t>
            </w:r>
            <w:r>
              <w:rPr>
                <w:rFonts w:ascii="仿宋_GB2312" w:hAnsi="宋体" w:cs="宋体"/>
                <w:kern w:val="0"/>
                <w:sz w:val="24"/>
                <w:szCs w:val="24"/>
              </w:rPr>
              <w:t>.</w:t>
            </w:r>
            <w:r>
              <w:rPr>
                <w:rFonts w:cs="宋体"/>
                <w:kern w:val="0"/>
                <w:sz w:val="24"/>
                <w:szCs w:val="24"/>
              </w:rPr>
              <w:t>7</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25</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企业技术合同交易额、增速（亿元）</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46</w:t>
            </w:r>
            <w:r>
              <w:rPr>
                <w:rFonts w:ascii="仿宋_GB2312" w:hAnsi="宋体" w:cs="宋体"/>
                <w:kern w:val="0"/>
                <w:sz w:val="24"/>
                <w:szCs w:val="24"/>
              </w:rPr>
              <w:t>.</w:t>
            </w:r>
            <w:r>
              <w:rPr>
                <w:rFonts w:cs="宋体"/>
                <w:kern w:val="0"/>
                <w:sz w:val="24"/>
                <w:szCs w:val="24"/>
              </w:rPr>
              <w:t>6</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70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经天津市认定的产业技术研究院数量（家）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研发机构衍生孵化企业累计数量（家）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106</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270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21</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联合研发中心（个）</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8</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国家级孵化器数量（家）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50</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国家级众创空间数量（家）</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50</w:t>
            </w:r>
            <w:r>
              <w:rPr>
                <w:rFonts w:ascii="仿宋_GB2312" w:hAnsi="宋体" w:cs="宋体"/>
                <w:kern w:val="0"/>
                <w:sz w:val="24"/>
                <w:szCs w:val="24"/>
              </w:rPr>
              <w:t>%]</w:t>
            </w:r>
          </w:p>
        </w:tc>
      </w:tr>
      <w:tr>
        <w:tblPrEx>
          <w:tblCellMar>
            <w:top w:w="0" w:type="dxa"/>
            <w:left w:w="108" w:type="dxa"/>
            <w:bottom w:w="0" w:type="dxa"/>
            <w:right w:w="108" w:type="dxa"/>
          </w:tblCellMar>
        </w:tblPrEx>
        <w:trPr>
          <w:trHeight w:val="9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累计引聚“两院”院士、国家最高科学技术奖获得者、国家“万人计划”专家等高层次人才数（人）</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86</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130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150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74</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城市建设</w:t>
            </w: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新建城市地下综合管廊（公里）</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7</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建成区达到海绵城市目标要求比例（</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常规公交分担率（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14</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25</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公路路网密度（公里</w:t>
            </w:r>
            <w:r>
              <w:rPr>
                <w:rFonts w:ascii="仿宋_GB2312" w:hAnsi="宋体" w:cs="宋体"/>
                <w:kern w:val="0"/>
                <w:sz w:val="24"/>
                <w:szCs w:val="24"/>
              </w:rPr>
              <w:t>/百平方公里）</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72</w:t>
            </w:r>
            <w:r>
              <w:rPr>
                <w:rFonts w:ascii="仿宋_GB2312" w:hAnsi="宋体" w:cs="宋体"/>
                <w:kern w:val="0"/>
                <w:sz w:val="24"/>
                <w:szCs w:val="24"/>
              </w:rPr>
              <w:t>.</w:t>
            </w:r>
            <w:r>
              <w:rPr>
                <w:rFonts w:cs="宋体"/>
                <w:kern w:val="0"/>
                <w:sz w:val="24"/>
                <w:szCs w:val="24"/>
              </w:rPr>
              <w:t>6</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78</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80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25</w:t>
            </w:r>
            <w:r>
              <w:rPr>
                <w:rFonts w:ascii="仿宋_GB2312" w:hAnsi="宋体" w:cs="宋体"/>
                <w:kern w:val="0"/>
                <w:sz w:val="24"/>
                <w:szCs w:val="24"/>
              </w:rPr>
              <w:t>%]</w:t>
            </w:r>
          </w:p>
        </w:tc>
      </w:tr>
      <w:tr>
        <w:tblPrEx>
          <w:tblCellMar>
            <w:top w:w="0" w:type="dxa"/>
            <w:left w:w="108" w:type="dxa"/>
            <w:bottom w:w="0" w:type="dxa"/>
            <w:right w:w="108" w:type="dxa"/>
          </w:tblCellMar>
        </w:tblPrEx>
        <w:trPr>
          <w:trHeight w:val="600" w:hRule="atLeast"/>
        </w:trPr>
        <w:tc>
          <w:tcPr>
            <w:tcW w:w="41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公用充电基础设施网络体系服务半径（公里）</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w:t>
            </w:r>
            <w:r>
              <w:rPr>
                <w:rFonts w:ascii="仿宋_GB2312" w:hAnsi="宋体" w:cs="宋体"/>
                <w:kern w:val="0"/>
                <w:sz w:val="24"/>
                <w:szCs w:val="24"/>
              </w:rPr>
              <w:t>.</w:t>
            </w:r>
            <w:r>
              <w:rPr>
                <w:rFonts w:cs="宋体"/>
                <w:kern w:val="0"/>
                <w:sz w:val="24"/>
                <w:szCs w:val="24"/>
              </w:rPr>
              <w:t>2</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0</w:t>
            </w:r>
            <w:r>
              <w:rPr>
                <w:rFonts w:ascii="仿宋_GB2312" w:hAnsi="宋体" w:cs="宋体"/>
                <w:kern w:val="0"/>
                <w:sz w:val="24"/>
                <w:szCs w:val="24"/>
              </w:rPr>
              <w:t>.</w:t>
            </w:r>
            <w:r>
              <w:rPr>
                <w:rFonts w:cs="宋体"/>
                <w:kern w:val="0"/>
                <w:sz w:val="24"/>
                <w:szCs w:val="24"/>
              </w:rPr>
              <w:t>9</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民生福祉</w:t>
            </w: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义务教育完成率（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普惠性幼儿园覆盖率（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80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85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5</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劳动人口平均受教育年限（年）</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11</w:t>
            </w:r>
            <w:r>
              <w:rPr>
                <w:rFonts w:ascii="仿宋_GB2312" w:hAnsi="宋体" w:cs="宋体"/>
                <w:kern w:val="0"/>
                <w:sz w:val="24"/>
                <w:szCs w:val="24"/>
              </w:rPr>
              <w:t>.</w:t>
            </w:r>
            <w:r>
              <w:rPr>
                <w:rFonts w:cs="宋体"/>
                <w:kern w:val="0"/>
                <w:sz w:val="24"/>
                <w:szCs w:val="24"/>
              </w:rPr>
              <w:t>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12</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基层医疗卫生机构标准化建设达标率（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95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95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每千人口拥有执业医师（人）</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w:t>
            </w:r>
            <w:r>
              <w:rPr>
                <w:rFonts w:ascii="仿宋_GB2312" w:hAnsi="宋体" w:cs="宋体"/>
                <w:kern w:val="0"/>
                <w:sz w:val="24"/>
                <w:szCs w:val="24"/>
              </w:rPr>
              <w:t>.</w:t>
            </w:r>
            <w:r>
              <w:rPr>
                <w:rFonts w:cs="宋体"/>
                <w:kern w:val="0"/>
                <w:sz w:val="24"/>
                <w:szCs w:val="24"/>
              </w:rPr>
              <w:t>44</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w:t>
            </w:r>
            <w:r>
              <w:rPr>
                <w:rFonts w:ascii="仿宋_GB2312" w:hAnsi="宋体" w:cs="宋体"/>
                <w:kern w:val="0"/>
                <w:sz w:val="24"/>
                <w:szCs w:val="24"/>
              </w:rPr>
              <w:t>.</w:t>
            </w:r>
            <w:r>
              <w:rPr>
                <w:rFonts w:cs="宋体"/>
                <w:kern w:val="0"/>
                <w:sz w:val="24"/>
                <w:szCs w:val="24"/>
              </w:rPr>
              <w:t>48</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w:t>
            </w:r>
            <w:r>
              <w:rPr>
                <w:rFonts w:ascii="仿宋_GB2312" w:hAnsi="宋体" w:cs="宋体"/>
                <w:kern w:val="0"/>
                <w:sz w:val="24"/>
                <w:szCs w:val="24"/>
              </w:rPr>
              <w:t>.</w:t>
            </w:r>
            <w:r>
              <w:rPr>
                <w:rFonts w:cs="宋体"/>
                <w:kern w:val="0"/>
                <w:sz w:val="24"/>
                <w:szCs w:val="24"/>
              </w:rPr>
              <w:t>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2.5</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公共文化设施建设达标率（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养老保险参保人数（万人）</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23</w:t>
            </w:r>
            <w:r>
              <w:rPr>
                <w:rFonts w:ascii="仿宋_GB2312" w:hAnsi="宋体" w:cs="宋体"/>
                <w:kern w:val="0"/>
                <w:sz w:val="24"/>
                <w:szCs w:val="24"/>
              </w:rPr>
              <w:t>.</w:t>
            </w:r>
            <w:r>
              <w:rPr>
                <w:rFonts w:cs="宋体"/>
                <w:kern w:val="0"/>
                <w:sz w:val="24"/>
                <w:szCs w:val="24"/>
              </w:rPr>
              <w:t>46</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27</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基本医疗保险参保人数（万人）</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43</w:t>
            </w:r>
            <w:r>
              <w:rPr>
                <w:rFonts w:ascii="仿宋_GB2312" w:hAnsi="宋体" w:cs="宋体"/>
                <w:kern w:val="0"/>
                <w:sz w:val="24"/>
                <w:szCs w:val="24"/>
              </w:rPr>
              <w:t>.</w:t>
            </w:r>
            <w:r>
              <w:rPr>
                <w:rFonts w:cs="宋体"/>
                <w:kern w:val="0"/>
                <w:sz w:val="24"/>
                <w:szCs w:val="24"/>
              </w:rPr>
              <w:t>33</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43</w:t>
            </w:r>
            <w:r>
              <w:rPr>
                <w:rFonts w:ascii="仿宋_GB2312" w:hAnsi="宋体" w:cs="宋体"/>
                <w:kern w:val="0"/>
                <w:sz w:val="24"/>
                <w:szCs w:val="24"/>
              </w:rPr>
              <w:t>.</w:t>
            </w:r>
            <w:r>
              <w:rPr>
                <w:rFonts w:cs="宋体"/>
                <w:kern w:val="0"/>
                <w:sz w:val="24"/>
                <w:szCs w:val="24"/>
              </w:rPr>
              <w:t>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43</w:t>
            </w:r>
            <w:r>
              <w:rPr>
                <w:rFonts w:ascii="仿宋_GB2312" w:hAnsi="宋体" w:cs="宋体"/>
                <w:kern w:val="0"/>
                <w:sz w:val="24"/>
                <w:szCs w:val="24"/>
              </w:rPr>
              <w:t>.</w:t>
            </w:r>
            <w:r>
              <w:rPr>
                <w:rFonts w:cs="宋体"/>
                <w:kern w:val="0"/>
                <w:sz w:val="24"/>
                <w:szCs w:val="24"/>
              </w:rPr>
              <w:t>8</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城镇登记失业率（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r>
              <w:rPr>
                <w:rFonts w:ascii="仿宋_GB2312" w:hAnsi="宋体" w:cs="宋体"/>
                <w:kern w:val="0"/>
                <w:sz w:val="24"/>
                <w:szCs w:val="24"/>
              </w:rPr>
              <w:t>.</w:t>
            </w:r>
            <w:r>
              <w:rPr>
                <w:rFonts w:cs="宋体"/>
                <w:kern w:val="0"/>
                <w:sz w:val="24"/>
                <w:szCs w:val="24"/>
              </w:rPr>
              <w:t>5</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r>
              <w:rPr>
                <w:rFonts w:ascii="仿宋_GB2312" w:hAnsi="宋体" w:cs="宋体"/>
                <w:kern w:val="0"/>
                <w:sz w:val="24"/>
                <w:szCs w:val="24"/>
              </w:rPr>
              <w:t>.</w:t>
            </w:r>
            <w:r>
              <w:rPr>
                <w:rFonts w:cs="宋体"/>
                <w:kern w:val="0"/>
                <w:sz w:val="24"/>
                <w:szCs w:val="24"/>
              </w:rPr>
              <w:t>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r>
              <w:rPr>
                <w:rFonts w:ascii="仿宋_GB2312" w:hAnsi="宋体" w:cs="宋体"/>
                <w:kern w:val="0"/>
                <w:sz w:val="24"/>
                <w:szCs w:val="24"/>
              </w:rPr>
              <w:t>.</w:t>
            </w:r>
            <w:r>
              <w:rPr>
                <w:rFonts w:cs="宋体"/>
                <w:kern w:val="0"/>
                <w:sz w:val="24"/>
                <w:szCs w:val="24"/>
              </w:rPr>
              <w:t>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新增本区就业人数（万人）</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w:t>
            </w:r>
            <w:r>
              <w:rPr>
                <w:rFonts w:ascii="仿宋_GB2312" w:hAnsi="宋体" w:cs="宋体"/>
                <w:kern w:val="0"/>
                <w:sz w:val="24"/>
                <w:szCs w:val="24"/>
              </w:rPr>
              <w:t>.</w:t>
            </w:r>
            <w:r>
              <w:rPr>
                <w:rFonts w:cs="宋体"/>
                <w:kern w:val="0"/>
                <w:sz w:val="24"/>
                <w:szCs w:val="24"/>
              </w:rPr>
              <w:t>9</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w:t>
            </w:r>
            <w:r>
              <w:rPr>
                <w:rFonts w:ascii="仿宋_GB2312" w:hAnsi="宋体" w:cs="宋体"/>
                <w:kern w:val="0"/>
                <w:sz w:val="24"/>
                <w:szCs w:val="24"/>
              </w:rPr>
              <w:t>.</w:t>
            </w:r>
            <w:r>
              <w:rPr>
                <w:rFonts w:cs="宋体"/>
                <w:kern w:val="0"/>
                <w:sz w:val="24"/>
                <w:szCs w:val="24"/>
              </w:rPr>
              <w:t>9</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w:t>
            </w:r>
            <w:r>
              <w:rPr>
                <w:rFonts w:ascii="仿宋_GB2312" w:hAnsi="宋体" w:cs="宋体"/>
                <w:kern w:val="0"/>
                <w:sz w:val="24"/>
                <w:szCs w:val="24"/>
              </w:rPr>
              <w:t>.</w:t>
            </w:r>
            <w:r>
              <w:rPr>
                <w:rFonts w:cs="宋体"/>
                <w:kern w:val="0"/>
                <w:sz w:val="24"/>
                <w:szCs w:val="24"/>
              </w:rPr>
              <w:t>9</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居民人均可支配收入（元）</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40350</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50000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57000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每千人常住人口养老床位数（张）</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38</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全区常住人口（万人）</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76</w:t>
            </w:r>
            <w:r>
              <w:rPr>
                <w:rFonts w:ascii="仿宋_GB2312" w:hAnsi="宋体" w:cs="宋体"/>
                <w:kern w:val="0"/>
                <w:sz w:val="24"/>
                <w:szCs w:val="24"/>
              </w:rPr>
              <w:t>.</w:t>
            </w:r>
            <w:r>
              <w:rPr>
                <w:rFonts w:cs="宋体"/>
                <w:kern w:val="0"/>
                <w:sz w:val="24"/>
                <w:szCs w:val="24"/>
              </w:rPr>
              <w:t>72</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96</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人口自然增长率（‰）</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绿色生态</w:t>
            </w: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建成区域绿化覆盖率（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42</w:t>
            </w:r>
            <w:r>
              <w:rPr>
                <w:rFonts w:ascii="仿宋_GB2312" w:hAnsi="宋体" w:cs="宋体"/>
                <w:kern w:val="0"/>
                <w:sz w:val="24"/>
                <w:szCs w:val="24"/>
              </w:rPr>
              <w:t>.</w:t>
            </w:r>
            <w:r>
              <w:rPr>
                <w:rFonts w:cs="宋体"/>
                <w:kern w:val="0"/>
                <w:sz w:val="24"/>
                <w:szCs w:val="24"/>
              </w:rPr>
              <w:t>56</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44</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46</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5</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生态屏障区内蓝绿空间比例（</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万元生产总值能耗下降（</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7</w:t>
            </w:r>
            <w:r>
              <w:rPr>
                <w:rFonts w:ascii="仿宋_GB2312" w:hAnsi="宋体" w:cs="宋体"/>
                <w:kern w:val="0"/>
                <w:sz w:val="24"/>
                <w:szCs w:val="24"/>
              </w:rPr>
              <w:t>.</w:t>
            </w:r>
            <w:r>
              <w:rPr>
                <w:rFonts w:cs="宋体"/>
                <w:kern w:val="0"/>
                <w:sz w:val="24"/>
                <w:szCs w:val="24"/>
              </w:rPr>
              <w:t>6</w:t>
            </w:r>
            <w:r>
              <w:rPr>
                <w:rFonts w:ascii="仿宋_GB2312" w:hAnsi="宋体" w:cs="宋体"/>
                <w:kern w:val="0"/>
                <w:sz w:val="24"/>
                <w:szCs w:val="24"/>
              </w:rPr>
              <w:t>（</w:t>
            </w:r>
            <w:r>
              <w:rPr>
                <w:rFonts w:cs="宋体"/>
                <w:kern w:val="0"/>
                <w:sz w:val="24"/>
                <w:szCs w:val="24"/>
              </w:rPr>
              <w:t>2018</w:t>
            </w:r>
            <w:r>
              <w:rPr>
                <w:rFonts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3</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城市污水集中处理率（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88</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90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城镇生活垃圾无害化处理率（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主要污染物排放总量减排完成率（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60" w:hRule="atLeast"/>
        </w:trPr>
        <w:tc>
          <w:tcPr>
            <w:tcW w:w="416" w:type="pct"/>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cs="宋体"/>
                <w:kern w:val="0"/>
                <w:sz w:val="24"/>
                <w:szCs w:val="24"/>
              </w:rPr>
              <w:t>PM</w:t>
            </w:r>
            <w:r>
              <w:rPr>
                <w:rFonts w:cs="宋体"/>
                <w:kern w:val="0"/>
                <w:sz w:val="24"/>
                <w:szCs w:val="24"/>
                <w:vertAlign w:val="subscript"/>
              </w:rPr>
              <w:t>2</w:t>
            </w:r>
            <w:r>
              <w:rPr>
                <w:rFonts w:ascii="仿宋_GB2312" w:hAnsi="宋体" w:cs="宋体"/>
                <w:kern w:val="0"/>
                <w:sz w:val="24"/>
                <w:szCs w:val="24"/>
                <w:vertAlign w:val="subscript"/>
              </w:rPr>
              <w:t>.</w:t>
            </w:r>
            <w:r>
              <w:rPr>
                <w:rFonts w:cs="宋体"/>
                <w:kern w:val="0"/>
                <w:sz w:val="24"/>
                <w:szCs w:val="24"/>
                <w:vertAlign w:val="subscript"/>
              </w:rPr>
              <w:t>5</w:t>
            </w:r>
            <w:r>
              <w:rPr>
                <w:rFonts w:hint="eastAsia" w:ascii="仿宋_GB2312" w:hAnsi="宋体" w:cs="宋体"/>
                <w:kern w:val="0"/>
                <w:sz w:val="24"/>
                <w:szCs w:val="24"/>
              </w:rPr>
              <w:t>年均浓度值（微克</w:t>
            </w:r>
            <w:r>
              <w:rPr>
                <w:rFonts w:ascii="仿宋_GB2312" w:hAnsi="宋体" w:cs="宋体"/>
                <w:kern w:val="0"/>
                <w:sz w:val="24"/>
                <w:szCs w:val="24"/>
              </w:rPr>
              <w:t>/立方米）</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51</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50</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restart"/>
            <w:tcBorders>
              <w:top w:val="nil"/>
              <w:left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改革开放</w:t>
            </w: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实际利用外资额（亿美元）</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0</w:t>
            </w:r>
            <w:r>
              <w:rPr>
                <w:rFonts w:ascii="仿宋_GB2312" w:hAnsi="宋体" w:cs="宋体"/>
                <w:kern w:val="0"/>
                <w:sz w:val="24"/>
                <w:szCs w:val="24"/>
              </w:rPr>
              <w:t>.</w:t>
            </w:r>
            <w:r>
              <w:rPr>
                <w:rFonts w:cs="宋体"/>
                <w:kern w:val="0"/>
                <w:sz w:val="24"/>
                <w:szCs w:val="24"/>
              </w:rPr>
              <w:t>26</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0</w:t>
            </w:r>
            <w:r>
              <w:rPr>
                <w:rFonts w:ascii="仿宋_GB2312" w:hAnsi="宋体" w:cs="宋体"/>
                <w:kern w:val="0"/>
                <w:sz w:val="24"/>
                <w:szCs w:val="24"/>
              </w:rPr>
              <w:t>.</w:t>
            </w:r>
            <w:r>
              <w:rPr>
                <w:rFonts w:cs="宋体"/>
                <w:kern w:val="0"/>
                <w:sz w:val="24"/>
                <w:szCs w:val="24"/>
              </w:rPr>
              <w:t>4</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0</w:t>
            </w:r>
            <w:r>
              <w:rPr>
                <w:rFonts w:ascii="仿宋_GB2312" w:hAnsi="宋体" w:cs="宋体"/>
                <w:kern w:val="0"/>
                <w:sz w:val="24"/>
                <w:szCs w:val="24"/>
              </w:rPr>
              <w:t>.</w:t>
            </w:r>
            <w:r>
              <w:rPr>
                <w:rFonts w:cs="宋体"/>
                <w:kern w:val="0"/>
                <w:sz w:val="24"/>
                <w:szCs w:val="24"/>
              </w:rPr>
              <w:t>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10</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spacing w:line="240" w:lineRule="auto"/>
              <w:ind w:firstLine="480"/>
              <w:jc w:val="center"/>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实际利用内资额（亿元）</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169</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174</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179</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w:t>
            </w:r>
            <w:r>
              <w:rPr>
                <w:rFonts w:ascii="仿宋_GB2312" w:hAnsi="宋体" w:cs="宋体"/>
                <w:kern w:val="0"/>
                <w:sz w:val="24"/>
                <w:szCs w:val="24"/>
              </w:rPr>
              <w:t>.</w:t>
            </w:r>
            <w:r>
              <w:rPr>
                <w:rFonts w:cs="宋体"/>
                <w:kern w:val="0"/>
                <w:sz w:val="24"/>
                <w:szCs w:val="24"/>
              </w:rPr>
              <w:t>18</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spacing w:line="240" w:lineRule="auto"/>
              <w:ind w:firstLine="480"/>
              <w:jc w:val="center"/>
              <w:rPr>
                <w:rFonts w:ascii="仿宋_GB2312" w:hAnsi="宋体" w:cs="宋体"/>
                <w:kern w:val="0"/>
                <w:sz w:val="24"/>
                <w:szCs w:val="24"/>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外贸出口总额及增速（亿元）</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167</w:t>
            </w:r>
            <w:r>
              <w:rPr>
                <w:rFonts w:ascii="仿宋_GB2312" w:hAnsi="宋体" w:cs="宋体"/>
                <w:kern w:val="0"/>
                <w:sz w:val="24"/>
                <w:szCs w:val="24"/>
              </w:rPr>
              <w:t>.</w:t>
            </w:r>
            <w:r>
              <w:rPr>
                <w:rFonts w:cs="宋体"/>
                <w:kern w:val="0"/>
                <w:sz w:val="24"/>
                <w:szCs w:val="24"/>
              </w:rPr>
              <w:t>5</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200</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225</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5</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2"/>
                <w:szCs w:val="22"/>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各级政务服务事项网上办理率（</w:t>
            </w:r>
            <w:r>
              <w:rPr>
                <w:rFonts w:ascii="仿宋_GB2312" w:hAnsi="宋体" w:cs="宋体"/>
                <w:kern w:val="0"/>
                <w:sz w:val="24"/>
                <w:szCs w:val="24"/>
              </w:rPr>
              <w:t>%）</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96</w:t>
            </w:r>
            <w:r>
              <w:rPr>
                <w:rFonts w:ascii="仿宋_GB2312" w:hAnsi="宋体" w:cs="宋体"/>
                <w:kern w:val="0"/>
                <w:sz w:val="24"/>
                <w:szCs w:val="24"/>
              </w:rPr>
              <w:t>.</w:t>
            </w:r>
            <w:r>
              <w:rPr>
                <w:rFonts w:cs="宋体"/>
                <w:kern w:val="0"/>
                <w:sz w:val="24"/>
                <w:szCs w:val="24"/>
              </w:rPr>
              <w:t>6</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97</w:t>
            </w:r>
            <w:r>
              <w:rPr>
                <w:rFonts w:ascii="仿宋_GB2312" w:hAnsi="宋体" w:cs="宋体"/>
                <w:kern w:val="0"/>
                <w:sz w:val="24"/>
                <w:szCs w:val="24"/>
              </w:rPr>
              <w:t>.</w:t>
            </w:r>
            <w:r>
              <w:rPr>
                <w:rFonts w:cs="宋体"/>
                <w:kern w:val="0"/>
                <w:sz w:val="24"/>
                <w:szCs w:val="24"/>
              </w:rPr>
              <w:t>5</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98</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ascii="仿宋_GB2312" w:hAnsi="宋体" w:cs="宋体"/>
                <w:kern w:val="0"/>
                <w:sz w:val="24"/>
                <w:szCs w:val="24"/>
              </w:rPr>
              <w:t>[</w:t>
            </w:r>
            <w:r>
              <w:rPr>
                <w:rFonts w:cs="宋体"/>
                <w:kern w:val="0"/>
                <w:sz w:val="24"/>
                <w:szCs w:val="24"/>
              </w:rPr>
              <w:t>2</w:t>
            </w:r>
            <w:r>
              <w:rPr>
                <w:rFonts w:ascii="仿宋_GB2312" w:hAnsi="宋体" w:cs="宋体"/>
                <w:kern w:val="0"/>
                <w:sz w:val="24"/>
                <w:szCs w:val="24"/>
              </w:rPr>
              <w:t>%]</w:t>
            </w:r>
          </w:p>
        </w:tc>
      </w:tr>
      <w:tr>
        <w:tblPrEx>
          <w:tblCellMar>
            <w:top w:w="0" w:type="dxa"/>
            <w:left w:w="108" w:type="dxa"/>
            <w:bottom w:w="0" w:type="dxa"/>
            <w:right w:w="108" w:type="dxa"/>
          </w:tblCellMar>
        </w:tblPrEx>
        <w:trPr>
          <w:trHeight w:val="300" w:hRule="atLeast"/>
        </w:trPr>
        <w:tc>
          <w:tcPr>
            <w:tcW w:w="41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2"/>
                <w:szCs w:val="22"/>
              </w:rPr>
            </w:pPr>
          </w:p>
        </w:tc>
        <w:tc>
          <w:tcPr>
            <w:tcW w:w="199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产业促进政策（项）</w:t>
            </w:r>
          </w:p>
        </w:tc>
        <w:tc>
          <w:tcPr>
            <w:tcW w:w="752"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c>
          <w:tcPr>
            <w:tcW w:w="583"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6</w:t>
            </w:r>
          </w:p>
        </w:tc>
        <w:tc>
          <w:tcPr>
            <w:tcW w:w="584"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cs="宋体"/>
                <w:kern w:val="0"/>
                <w:sz w:val="24"/>
                <w:szCs w:val="24"/>
              </w:rPr>
              <w:t>8</w:t>
            </w:r>
          </w:p>
        </w:tc>
        <w:tc>
          <w:tcPr>
            <w:tcW w:w="668"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kern w:val="0"/>
                <w:sz w:val="24"/>
                <w:szCs w:val="24"/>
              </w:rPr>
            </w:pPr>
            <w:r>
              <w:rPr>
                <w:rFonts w:hint="eastAsia" w:ascii="仿宋_GB2312" w:hAnsi="宋体" w:cs="宋体"/>
                <w:kern w:val="0"/>
                <w:sz w:val="24"/>
                <w:szCs w:val="24"/>
              </w:rPr>
              <w:t>—</w:t>
            </w:r>
          </w:p>
        </w:tc>
      </w:tr>
    </w:tbl>
    <w:p>
      <w:pPr>
        <w:ind w:firstLine="640"/>
      </w:pPr>
    </w:p>
    <w:p>
      <w:pPr>
        <w:widowControl/>
        <w:spacing w:line="240" w:lineRule="auto"/>
        <w:ind w:firstLine="0" w:firstLineChars="0"/>
        <w:jc w:val="left"/>
        <w:rPr>
          <w:rFonts w:ascii="黑体" w:hAnsi="黑体" w:eastAsia="黑体" w:cs="Times New Roman"/>
          <w:b/>
          <w:spacing w:val="-4"/>
          <w:kern w:val="44"/>
          <w:szCs w:val="36"/>
        </w:rPr>
      </w:pPr>
      <w:r>
        <w:br w:type="page"/>
      </w:r>
    </w:p>
    <w:p>
      <w:pPr>
        <w:pStyle w:val="2"/>
        <w:jc w:val="left"/>
        <w:rPr>
          <w:sz w:val="32"/>
        </w:rPr>
      </w:pPr>
      <w:bookmarkStart w:id="160" w:name="_Toc48224423"/>
      <w:r>
        <w:rPr>
          <w:rFonts w:hint="eastAsia"/>
          <w:sz w:val="32"/>
        </w:rPr>
        <w:t>附件二</w:t>
      </w:r>
      <w:r>
        <w:rPr>
          <w:sz w:val="32"/>
        </w:rPr>
        <w:t xml:space="preserve"> </w:t>
      </w:r>
      <w:r>
        <w:rPr>
          <w:rFonts w:hint="eastAsia"/>
          <w:sz w:val="32"/>
        </w:rPr>
        <w:t>东丽区“十四五”时期重点工作和重大项目清单</w:t>
      </w:r>
      <w:bookmarkEnd w:id="160"/>
    </w:p>
    <w:tbl>
      <w:tblPr>
        <w:tblStyle w:val="14"/>
        <w:tblW w:w="5000" w:type="pct"/>
        <w:tblInd w:w="0" w:type="dxa"/>
        <w:tblLayout w:type="autofit"/>
        <w:tblCellMar>
          <w:top w:w="0" w:type="dxa"/>
          <w:left w:w="108" w:type="dxa"/>
          <w:bottom w:w="0" w:type="dxa"/>
          <w:right w:w="108" w:type="dxa"/>
        </w:tblCellMar>
      </w:tblPr>
      <w:tblGrid>
        <w:gridCol w:w="960"/>
        <w:gridCol w:w="469"/>
        <w:gridCol w:w="469"/>
        <w:gridCol w:w="5233"/>
        <w:gridCol w:w="1391"/>
      </w:tblGrid>
      <w:tr>
        <w:tblPrEx>
          <w:tblCellMar>
            <w:top w:w="0" w:type="dxa"/>
            <w:left w:w="108" w:type="dxa"/>
            <w:bottom w:w="0" w:type="dxa"/>
            <w:right w:w="108" w:type="dxa"/>
          </w:tblCellMar>
        </w:tblPrEx>
        <w:trPr>
          <w:trHeight w:val="300" w:hRule="atLeast"/>
        </w:trPr>
        <w:tc>
          <w:tcPr>
            <w:tcW w:w="564"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bookmarkStart w:id="161" w:name="_Hlk41214357"/>
            <w:r>
              <w:rPr>
                <w:rFonts w:hint="eastAsia" w:ascii="仿宋_GB2312" w:hAnsi="宋体" w:cs="宋体"/>
                <w:color w:val="000000"/>
                <w:kern w:val="0"/>
                <w:sz w:val="24"/>
                <w:szCs w:val="24"/>
              </w:rPr>
              <w:t>序号</w:t>
            </w:r>
          </w:p>
        </w:tc>
        <w:tc>
          <w:tcPr>
            <w:tcW w:w="550" w:type="pct"/>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领域</w:t>
            </w:r>
          </w:p>
        </w:tc>
        <w:tc>
          <w:tcPr>
            <w:tcW w:w="3070"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重点项目/工作</w:t>
            </w:r>
          </w:p>
        </w:tc>
        <w:tc>
          <w:tcPr>
            <w:tcW w:w="817" w:type="pct"/>
            <w:tcBorders>
              <w:top w:val="single" w:color="auto" w:sz="4" w:space="0"/>
              <w:left w:val="nil"/>
              <w:bottom w:val="single" w:color="auto" w:sz="4" w:space="0"/>
              <w:right w:val="single" w:color="auto" w:sz="4" w:space="0"/>
            </w:tcBorders>
            <w:shd w:val="clear" w:color="000000" w:fill="FFFFFF"/>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项目类型</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w:t>
            </w:r>
          </w:p>
        </w:tc>
        <w:tc>
          <w:tcPr>
            <w:tcW w:w="27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构建高端高质产业体系</w:t>
            </w:r>
          </w:p>
        </w:tc>
        <w:tc>
          <w:tcPr>
            <w:tcW w:w="27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新一代汽车技术</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自动驾驶共性技术研发平台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奥特贝睿自动驾驶系统开发项目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自动驾驶应用示范工程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汽车电子创新中心</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智能汽车网络安全国家工程研究中心</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电装电机新能源汽车驱动电机及逆变器项目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东丽经开区智能网联汽车产业园</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中汽研新能源整车(氢燃料电池）及零部件试验检测中心</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中科院广州能源所氢燃料电池核心部件中试基地项目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中汽研车联网网络标识服务平台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中汽研智能网联车信息平台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新能源汽车核心零部件研发平台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高端装备制造</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美的智慧科创产业园</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垠坤电子信息智能制造创新园项目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人工智能机器人产业基地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天津海特传动机械有限公司工业机器人生产制造项目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中航装甲公司航空发动机关键制件基地项目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天津沃可达电力设备有限公司科技园项目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盈迦迈科技发展（天津）有限公司二期项目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中冀建设项目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21</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航天科工8359所军民融合项目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22</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临空智能制造产业园</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23</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航空科技智慧谷</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24</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京津冀智慧产业园区域总部项目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25</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联东U谷·智能制造科创园项目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26</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智慧机场服务场景建设项目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27</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生物医药</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东丽经开区国际医疗器械产业园</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28</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核医疗装备产业园</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29</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和治友德总部项目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30</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医疗器械开放实验室</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31</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医疗器械产业工程化平台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32</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中瑞国际医疗器械产业园项目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33</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国际标准高端兽药制剂生产线及厂房建设项目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34</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东丽湖丽健园大健康产业升级改造项目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35</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东丽湖智慧健康养老示范基地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36</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新材料</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上海电气与钢管公司混改项目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37</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东铭集团项目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38</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金桥巴顿产业研究院产业化项目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39</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钢铁互联网平台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40</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北京航材院航空材料产业化基地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41</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爱思达航天科技二期项目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42</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卓辉新型半导体材料及元器件研发生产项目二期</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43</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乾顺永磁（天津）科技发展有限公司乾顺永磁生产基地项目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44</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雷鸣科技环保水处理材料研发运营总部项目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45</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中民筑友项目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46</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包钢集团稀土产业建设项目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47</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高端服务业</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浪潮集团北方总部</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48</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国研智库创新科学园天津数据产业园</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49</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5G物联网空开项目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50</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东丽区知识产权综合服务平台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51</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中汽研国家机器人整机及关键核心零部件质量监督和检测中心</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52</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奥瑞克电梯国家特种设备检测中心</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53</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天津华测检测认证有限公司项目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54</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国家公共检验检测认证服务平台示范区</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55</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海河柳林国际设计区建设项目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56</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乐歌新型电子商务综合智慧园区项目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57</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京东电子商务综合配套基地及天津结算中心二期项目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58</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东丽临空经济区现代物流基地项目（泉康）</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59</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宇培华北（天津东丽）电商冷链产业运营总部基地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60</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普洛斯东丽华明产业园</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61</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东丽区跨境电商小镇</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62</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航空特色会展中心</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63</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国网二期总部项目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64</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中信天津金融科技服务运营基地项目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65</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斯坦德北方总部基地项目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66</w:t>
            </w: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275" w:type="pct"/>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苏宁集团环渤海地区总部</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67</w:t>
            </w:r>
          </w:p>
        </w:tc>
        <w:tc>
          <w:tcPr>
            <w:tcW w:w="55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打造创新创业生态</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高新企业倍增工程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科研院所评估工程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69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“六有”特色载体打造工程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智慧机场设备专业化众创空间</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商业模式概念验证实验室</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科丽泰“大孵化器”建设提升</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“1+N”科技服务平台体系升级</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中国地质调查局水文地质环境地质调查中心项目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中国地质科学院地球物理地球化学勘查技术研究所项目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中国地质科学院勘探技术研究所</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国家战略性矿产绿色勘查开发技术创新中心（成都所锡土项目）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广海局天然气水合物勘查开发技术装备研发中心（可燃冰项目）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79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重点产业联合研发中心</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“创在东丽”双创活动平台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人才发展载体平台建设</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人才优先发展工程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东丽区创业社区</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84</w:t>
            </w:r>
          </w:p>
        </w:tc>
        <w:tc>
          <w:tcPr>
            <w:tcW w:w="55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建设智慧都市新区</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5G（第五代移动通信）设施建设工程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光纤网络与物联网网络基础设施建设工程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工业互联网基础设施建设工程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东丽区海绵城市建设工程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东丽区雨污分流改造工程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89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东丽区地下综合管廊建设工程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东丽湖03单元南区管廊及六条道路综合配套项目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东丽地区变电站新（重）建工程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东丽湖南部污水处理厂一期扩建及配套管线工程项目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津滨威立雅水厂二期建设工程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军粮城电厂技术改造项目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新立示范镇出让区基础设施项目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东丽经开区园区二次提升、基础设施建设</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东丽氢能科技园基础建设项目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华明高新区基础设施提升工程（一期）工程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99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东丽湖地区基础设施提升改造工程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金桥街军粮城北站南广场建设工程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军粮城示范镇出让区市政基础配套</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金桥街、无瑕街、华明新市镇、金钟街综合性服务配套组团</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金钟新市镇出让一区供热工程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轨道交通Z2线建设项目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天津地铁4号线南段工程及民航学院车辆段工程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汉港公路（津塘公路-海河）改建工程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杨北公路（新杨北公路-津汉公路）改建工程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金钟路（祁连北路-外环调整线）道路及配套管线工程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109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津汉公路（东金路—金钟河桥东侧桥头）改建工程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津北公路（驯海路-旭阳路）改建工程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临空经济区临空CBD道路基础设施建设</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临空经济区临空产业区道路基础设施建设</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临空经济区临空科技创新区道路基础设施建设</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东丽区无瑕街停车楼项目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新能源汽车充电服务网络和建设项目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新能源汽车加氢设施建设项目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万达广场项目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爱琴海项目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119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珍品一街项目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中航商业综合体</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国际科创商置项目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东丽商住项目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中建信和玖棠府b地块商业项目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津滨大道金茂商业项目（成湖C2项目)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天津东丽区阳光新城市购物广场有限公司丽东广场二期项目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金地商置项目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金茂智慧科学城项目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苏宁易购生活广场项目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129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步行商业街区建设项目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东丽临空经济区整体开发项目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南淀公园、程林公园建设项目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东丽湖温泉度假旅游区文化旅游设施及基础设施建设工程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临空CBD商住项目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中建玖樾府项目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新立一号房地产项目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津丽（挂）2019-07号宗地项目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中街三期地块项目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悦隽公元项目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139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天津实地蔷薇国际项目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金隅金钟地块项目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中交集团大毕庄地块项目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金钟街606地块项目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金钟街出让一区新中村8、10、11号地块项目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轻轨张贵庄站南侧地块项目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kern w:val="0"/>
                <w:sz w:val="24"/>
                <w:szCs w:val="24"/>
              </w:rPr>
            </w:pPr>
            <w:r>
              <w:rPr>
                <w:rFonts w:hint="eastAsia" w:ascii="仿宋_GB2312" w:hAnsi="宋体" w:cs="宋体"/>
                <w:kern w:val="0"/>
                <w:sz w:val="24"/>
                <w:szCs w:val="24"/>
              </w:rPr>
              <w:t>中心城区综合整治工程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全国文明城区常态化管理工程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智慧党建统领智慧社会信息平台提升工程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东丽区气象服务保障系统工程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149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市容市貌整治工程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两纵三横核心干道街景立面整修综合提升改造工程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一纵六横道路街景绿地提升改造工程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党建主题公园提升改造工程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生活垃圾分类科普公园（惠民公园）提升改造工程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无瑕街津塘公路沿线风貌提升工程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交通秩序整治工程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金钟示范镇二期农民安置房建设项目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军粮城示范镇增建项目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东丽区无瑕街村民还迁定向安置经济适用房（秀霞片）项目（二期）工程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159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东丽区万新街和新立街城中村改造定向安置经济适用房地块</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詹庄等七村村民还迁安置经济适用房项目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东丽区李明庄村城中村改造村民定向安置经济适用住房项目二期工程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东丽区专家公寓、人才公寓、蓝领公寓改造项目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老旧社区“水电路气网”改造工程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滨丽创意农业产业园建设项目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东丽区农业品牌化建设工程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东丽区农业产业化联合体建设项目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城市文化建设工程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168</w:t>
            </w:r>
          </w:p>
        </w:tc>
        <w:tc>
          <w:tcPr>
            <w:tcW w:w="55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增进百姓民生福祉</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教育现代化推进工程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169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普惠性幼儿园建设项目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东丽湖学校建设项目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东丽湖1126地块新建中、小学项目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auto" w:fill="auto"/>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中建信和玖棠府C地块小学项目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华新街完全中校建设项目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东丽区职业教育中心学校提升项目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数字校园试点建设项目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东丽区中医医院原址改扩建项目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万新街、新立街等社区卫生服务中心新建改造项目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东方妇儿医院改扩建新门急诊楼项目（桩基）</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179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东丽区医疗联合体提升发展项目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“互联网+医疗健康”服务平台建设项目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国家健康城区创建工程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北部地区全民健身中心建设项目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东丽区文化中心建设项目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东丽湖文旅小镇项目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无瑕工业旅游项目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东丽区就业促进工程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公办养老机构及公建民营养老机构建设、提升项目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老年日间照料中心建设提升项目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189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社区医养结合服务设施建设改建项目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智慧健康养老服务平台建设项目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191</w:t>
            </w:r>
          </w:p>
        </w:tc>
        <w:tc>
          <w:tcPr>
            <w:tcW w:w="55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构筑都市生态高地</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东丽区绿色生态屏障建设工程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东丽区古海岸湿地绿廊起步区建设工程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东丽区绿色生态屏障区（南片区）储备林工程项目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6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东丽区绿色生态屏障区（北片区）金钟河北生态保护项目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金钟河沿岸生态修复工程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东丽区一纵六横绿化带建设工程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197</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东丽区生态资源市场化交易平台</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烟厂三期技改</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199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绿色工厂和绿色园区建设工程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中能昊龙现代农业产业综合体项目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胡张庄田园综合体项目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在建</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胡张庄乡村振兴示范区项目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203</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海河生态绿芯智慧农旅体验区</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204</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东丽区东丽湖文旅小镇项目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205</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东丽区农业用水供水水源转换及灌溉设施提升工程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206</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东丽区污染防治工程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207</w:t>
            </w:r>
          </w:p>
        </w:tc>
        <w:tc>
          <w:tcPr>
            <w:tcW w:w="550" w:type="pct"/>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深入推进改革开放</w:t>
            </w: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京津冀产业承接平台建设项目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hint="eastAsia" w:ascii="仿宋_GB2312" w:hAnsi="宋体" w:cs="宋体"/>
                <w:color w:val="000000"/>
                <w:kern w:val="0"/>
                <w:sz w:val="24"/>
                <w:szCs w:val="24"/>
              </w:rPr>
              <w:t>208</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京津冀协同创新生态圈建设项目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ascii="仿宋_GB2312" w:hAnsi="宋体" w:cs="宋体"/>
                <w:color w:val="000000"/>
                <w:kern w:val="0"/>
                <w:sz w:val="24"/>
                <w:szCs w:val="24"/>
              </w:rPr>
              <w:t>209</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国际交流合作平台建设项目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ascii="仿宋_GB2312" w:hAnsi="宋体" w:cs="宋体"/>
                <w:color w:val="000000"/>
                <w:kern w:val="0"/>
                <w:sz w:val="24"/>
                <w:szCs w:val="24"/>
              </w:rPr>
              <w:t>210</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新经济制度创新工程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建议</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ascii="仿宋_GB2312" w:hAnsi="宋体" w:cs="宋体"/>
                <w:color w:val="000000"/>
                <w:kern w:val="0"/>
                <w:sz w:val="24"/>
                <w:szCs w:val="24"/>
              </w:rPr>
              <w:t>211</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社区党群服务中心提升工程</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已储备</w:t>
            </w:r>
          </w:p>
        </w:tc>
      </w:tr>
      <w:tr>
        <w:tblPrEx>
          <w:tblCellMar>
            <w:top w:w="0" w:type="dxa"/>
            <w:left w:w="108" w:type="dxa"/>
            <w:bottom w:w="0" w:type="dxa"/>
            <w:right w:w="108" w:type="dxa"/>
          </w:tblCellMar>
        </w:tblPrEx>
        <w:trPr>
          <w:trHeight w:val="300" w:hRule="atLeast"/>
        </w:trPr>
        <w:tc>
          <w:tcPr>
            <w:tcW w:w="564" w:type="pct"/>
            <w:tcBorders>
              <w:top w:val="nil"/>
              <w:left w:val="single" w:color="auto" w:sz="4" w:space="0"/>
              <w:bottom w:val="single" w:color="auto" w:sz="4" w:space="0"/>
              <w:right w:val="single" w:color="auto" w:sz="4" w:space="0"/>
            </w:tcBorders>
            <w:shd w:val="clear" w:color="auto" w:fill="auto"/>
            <w:vAlign w:val="center"/>
          </w:tcPr>
          <w:p>
            <w:pPr>
              <w:widowControl/>
              <w:spacing w:line="240" w:lineRule="auto"/>
              <w:ind w:firstLine="0" w:firstLineChars="0"/>
              <w:jc w:val="center"/>
              <w:rPr>
                <w:rFonts w:ascii="仿宋_GB2312" w:hAnsi="宋体" w:cs="宋体"/>
                <w:color w:val="000000"/>
                <w:kern w:val="0"/>
                <w:sz w:val="24"/>
                <w:szCs w:val="24"/>
              </w:rPr>
            </w:pPr>
            <w:r>
              <w:rPr>
                <w:rFonts w:ascii="仿宋_GB2312" w:hAnsi="宋体" w:cs="宋体"/>
                <w:color w:val="000000"/>
                <w:kern w:val="0"/>
                <w:sz w:val="24"/>
                <w:szCs w:val="24"/>
              </w:rPr>
              <w:t>212</w:t>
            </w:r>
          </w:p>
        </w:tc>
        <w:tc>
          <w:tcPr>
            <w:tcW w:w="550" w:type="pct"/>
            <w:gridSpan w:val="2"/>
            <w:vMerge w:val="continue"/>
            <w:tcBorders>
              <w:top w:val="nil"/>
              <w:left w:val="single" w:color="auto" w:sz="4" w:space="0"/>
              <w:bottom w:val="single" w:color="auto" w:sz="4" w:space="0"/>
              <w:right w:val="single" w:color="auto" w:sz="4" w:space="0"/>
            </w:tcBorders>
            <w:vAlign w:val="center"/>
          </w:tcPr>
          <w:p>
            <w:pPr>
              <w:widowControl/>
              <w:spacing w:line="240" w:lineRule="auto"/>
              <w:ind w:firstLine="0" w:firstLineChars="0"/>
              <w:jc w:val="left"/>
              <w:rPr>
                <w:rFonts w:ascii="仿宋_GB2312" w:hAnsi="宋体" w:cs="宋体"/>
                <w:color w:val="000000"/>
                <w:kern w:val="0"/>
                <w:sz w:val="24"/>
                <w:szCs w:val="24"/>
              </w:rPr>
            </w:pPr>
          </w:p>
        </w:tc>
        <w:tc>
          <w:tcPr>
            <w:tcW w:w="3070"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信用信息共享平台建设项目</w:t>
            </w:r>
          </w:p>
        </w:tc>
        <w:tc>
          <w:tcPr>
            <w:tcW w:w="817" w:type="pct"/>
            <w:tcBorders>
              <w:top w:val="nil"/>
              <w:left w:val="nil"/>
              <w:bottom w:val="single" w:color="auto" w:sz="4" w:space="0"/>
              <w:right w:val="single" w:color="auto" w:sz="4" w:space="0"/>
            </w:tcBorders>
            <w:shd w:val="clear" w:color="000000" w:fill="FFFFFF"/>
            <w:vAlign w:val="center"/>
          </w:tcPr>
          <w:p>
            <w:pPr>
              <w:widowControl/>
              <w:spacing w:line="240" w:lineRule="auto"/>
              <w:ind w:firstLine="0" w:firstLineChars="0"/>
              <w:jc w:val="left"/>
              <w:rPr>
                <w:rFonts w:ascii="仿宋_GB2312" w:hAnsi="宋体" w:cs="宋体"/>
                <w:color w:val="000000"/>
                <w:kern w:val="0"/>
                <w:sz w:val="24"/>
                <w:szCs w:val="24"/>
              </w:rPr>
            </w:pPr>
            <w:r>
              <w:rPr>
                <w:rFonts w:hint="eastAsia" w:ascii="仿宋_GB2312" w:hAnsi="宋体" w:cs="宋体"/>
                <w:color w:val="000000"/>
                <w:kern w:val="0"/>
                <w:sz w:val="24"/>
                <w:szCs w:val="24"/>
              </w:rPr>
              <w:t>推进中</w:t>
            </w:r>
          </w:p>
        </w:tc>
      </w:tr>
    </w:tbl>
    <w:p>
      <w:pPr>
        <w:widowControl/>
        <w:spacing w:line="240" w:lineRule="auto"/>
        <w:ind w:firstLine="0" w:firstLineChars="0"/>
        <w:jc w:val="left"/>
        <w:rPr>
          <w:rFonts w:ascii="黑体" w:hAnsi="黑体" w:eastAsia="黑体" w:cs="Times New Roman"/>
          <w:b/>
          <w:spacing w:val="-4"/>
          <w:kern w:val="44"/>
          <w:sz w:val="36"/>
          <w:szCs w:val="36"/>
        </w:rPr>
      </w:pPr>
      <w:r>
        <w:br w:type="page"/>
      </w:r>
    </w:p>
    <w:p>
      <w:pPr>
        <w:pStyle w:val="2"/>
        <w:jc w:val="left"/>
        <w:rPr>
          <w:sz w:val="32"/>
          <w:szCs w:val="32"/>
        </w:rPr>
      </w:pPr>
      <w:bookmarkStart w:id="162" w:name="_Toc48224424"/>
      <w:r>
        <w:rPr>
          <w:rFonts w:hint="eastAsia"/>
          <w:sz w:val="32"/>
          <w:szCs w:val="32"/>
        </w:rPr>
        <w:t>附件三</w:t>
      </w:r>
      <w:r>
        <w:rPr>
          <w:sz w:val="32"/>
          <w:szCs w:val="32"/>
        </w:rPr>
        <w:t xml:space="preserve"> </w:t>
      </w:r>
      <w:r>
        <w:rPr>
          <w:rFonts w:hint="eastAsia"/>
          <w:sz w:val="32"/>
          <w:szCs w:val="32"/>
        </w:rPr>
        <w:t>东丽区“十四五”规划纲要重要名词解释</w:t>
      </w:r>
      <w:bookmarkEnd w:id="162"/>
    </w:p>
    <w:bookmarkEnd w:id="161"/>
    <w:p>
      <w:pPr>
        <w:keepNext/>
        <w:keepLines/>
        <w:ind w:firstLine="643"/>
        <w:outlineLvl w:val="1"/>
        <w:rPr>
          <w:rFonts w:ascii="楷体" w:hAnsi="楷体" w:eastAsia="楷体"/>
          <w:b/>
          <w:szCs w:val="32"/>
        </w:rPr>
      </w:pPr>
      <w:bookmarkStart w:id="163" w:name="_Toc43050026"/>
      <w:bookmarkStart w:id="164" w:name="_Toc46947973"/>
      <w:bookmarkStart w:id="165" w:name="_Toc48224425"/>
      <w:r>
        <w:rPr>
          <w:rFonts w:eastAsia="楷体"/>
          <w:b/>
          <w:szCs w:val="32"/>
        </w:rPr>
        <w:t>1</w:t>
      </w:r>
      <w:r>
        <w:rPr>
          <w:rFonts w:ascii="楷体" w:hAnsi="楷体" w:eastAsia="楷体"/>
          <w:b/>
          <w:szCs w:val="32"/>
        </w:rPr>
        <w:t>.</w:t>
      </w:r>
      <w:r>
        <w:rPr>
          <w:rFonts w:ascii="楷体" w:hAnsi="楷体" w:eastAsia="楷体"/>
          <w:b/>
          <w:szCs w:val="32"/>
        </w:rPr>
        <w:tab/>
      </w:r>
      <w:r>
        <w:rPr>
          <w:rFonts w:hint="eastAsia" w:ascii="楷体" w:hAnsi="楷体" w:eastAsia="楷体"/>
          <w:b/>
          <w:szCs w:val="32"/>
        </w:rPr>
        <w:t>“两个一百年”奋斗目标</w:t>
      </w:r>
      <w:bookmarkEnd w:id="163"/>
      <w:bookmarkEnd w:id="164"/>
      <w:bookmarkEnd w:id="165"/>
    </w:p>
    <w:p>
      <w:pPr>
        <w:ind w:firstLine="640"/>
        <w:rPr>
          <w:rFonts w:ascii="仿宋_GB2312"/>
          <w:szCs w:val="32"/>
        </w:rPr>
      </w:pPr>
      <w:r>
        <w:rPr>
          <w:rFonts w:hint="eastAsia" w:ascii="仿宋_GB2312"/>
          <w:szCs w:val="32"/>
        </w:rPr>
        <w:t>党的十九大党章修正案指出：在新世纪新时代，经济和社会发展的战略目标是到建党一百年时全面建成小康社会，到新中国成立一百年时全面建成社会主义现代化强国。</w:t>
      </w:r>
    </w:p>
    <w:p>
      <w:pPr>
        <w:keepNext/>
        <w:keepLines/>
        <w:ind w:firstLine="643"/>
        <w:outlineLvl w:val="1"/>
        <w:rPr>
          <w:rFonts w:ascii="楷体" w:hAnsi="楷体" w:eastAsia="楷体"/>
          <w:b/>
          <w:szCs w:val="32"/>
        </w:rPr>
      </w:pPr>
      <w:bookmarkStart w:id="166" w:name="_Toc43050027"/>
      <w:bookmarkStart w:id="167" w:name="_Toc46947974"/>
      <w:bookmarkStart w:id="168" w:name="_Toc48224426"/>
      <w:r>
        <w:rPr>
          <w:rFonts w:eastAsia="楷体"/>
          <w:b/>
          <w:szCs w:val="32"/>
        </w:rPr>
        <w:t>2</w:t>
      </w:r>
      <w:r>
        <w:rPr>
          <w:rFonts w:ascii="楷体" w:hAnsi="楷体" w:eastAsia="楷体"/>
          <w:b/>
          <w:szCs w:val="32"/>
        </w:rPr>
        <w:t>.</w:t>
      </w:r>
      <w:r>
        <w:rPr>
          <w:rFonts w:ascii="楷体" w:hAnsi="楷体" w:eastAsia="楷体"/>
          <w:b/>
          <w:szCs w:val="32"/>
        </w:rPr>
        <w:tab/>
      </w:r>
      <w:r>
        <w:rPr>
          <w:rFonts w:hint="eastAsia" w:ascii="楷体" w:hAnsi="楷体" w:eastAsia="楷体"/>
          <w:b/>
          <w:szCs w:val="32"/>
        </w:rPr>
        <w:t>天津市新动能引育</w:t>
      </w:r>
      <w:bookmarkEnd w:id="166"/>
      <w:bookmarkEnd w:id="167"/>
      <w:bookmarkEnd w:id="168"/>
    </w:p>
    <w:p>
      <w:pPr>
        <w:ind w:firstLine="640"/>
        <w:rPr>
          <w:rFonts w:ascii="仿宋_GB2312"/>
          <w:szCs w:val="32"/>
        </w:rPr>
      </w:pPr>
      <w:r>
        <w:rPr>
          <w:szCs w:val="32"/>
        </w:rPr>
        <w:t>2020</w:t>
      </w:r>
      <w:r>
        <w:rPr>
          <w:rFonts w:hint="eastAsia" w:ascii="仿宋_GB2312"/>
          <w:szCs w:val="32"/>
        </w:rPr>
        <w:t>年天津市政府工作报告中提出，要大力实施新动能引育五年行动计划，力争到</w:t>
      </w:r>
      <w:r>
        <w:rPr>
          <w:szCs w:val="32"/>
        </w:rPr>
        <w:t>2024</w:t>
      </w:r>
      <w:r>
        <w:rPr>
          <w:rFonts w:hint="eastAsia" w:ascii="仿宋_GB2312"/>
          <w:szCs w:val="32"/>
        </w:rPr>
        <w:t>年，国家高新技术企业达到</w:t>
      </w:r>
      <w:r>
        <w:rPr>
          <w:szCs w:val="32"/>
        </w:rPr>
        <w:t>1</w:t>
      </w:r>
      <w:r>
        <w:rPr>
          <w:rFonts w:hint="eastAsia" w:ascii="仿宋_GB2312"/>
          <w:szCs w:val="32"/>
        </w:rPr>
        <w:t>万家以上，科技型企业上市数量达到</w:t>
      </w:r>
      <w:r>
        <w:rPr>
          <w:szCs w:val="32"/>
        </w:rPr>
        <w:t>70</w:t>
      </w:r>
      <w:r>
        <w:rPr>
          <w:rFonts w:hint="eastAsia" w:ascii="仿宋_GB2312"/>
          <w:szCs w:val="32"/>
        </w:rPr>
        <w:t>家以上，工业战略性新兴产业增加值占规上工业增加值比重达到</w:t>
      </w:r>
      <w:r>
        <w:rPr>
          <w:szCs w:val="32"/>
        </w:rPr>
        <w:t>40</w:t>
      </w:r>
      <w:r>
        <w:rPr>
          <w:rFonts w:hint="eastAsia" w:ascii="仿宋_GB2312"/>
          <w:szCs w:val="32"/>
        </w:rPr>
        <w:t>%以上，高技术（制造业）增加值占规上工业增加值比重达到</w:t>
      </w:r>
      <w:r>
        <w:rPr>
          <w:szCs w:val="32"/>
        </w:rPr>
        <w:t>30</w:t>
      </w:r>
      <w:r>
        <w:rPr>
          <w:rFonts w:hint="eastAsia" w:ascii="仿宋_GB2312"/>
          <w:szCs w:val="32"/>
        </w:rPr>
        <w:t>%以上，高技术（服务业）增加值及以互联网和相关服务为代表的现代新兴服务业增加值占服务业增加值比重达到</w:t>
      </w:r>
      <w:r>
        <w:rPr>
          <w:szCs w:val="32"/>
        </w:rPr>
        <w:t>30</w:t>
      </w:r>
      <w:r>
        <w:rPr>
          <w:rFonts w:hint="eastAsia" w:ascii="仿宋_GB2312"/>
          <w:szCs w:val="32"/>
        </w:rPr>
        <w:t>%以上。</w:t>
      </w:r>
    </w:p>
    <w:p>
      <w:pPr>
        <w:keepNext/>
        <w:keepLines/>
        <w:ind w:firstLine="643"/>
        <w:outlineLvl w:val="1"/>
        <w:rPr>
          <w:rFonts w:ascii="楷体" w:hAnsi="楷体" w:eastAsia="楷体"/>
          <w:b/>
          <w:szCs w:val="32"/>
        </w:rPr>
      </w:pPr>
      <w:bookmarkStart w:id="169" w:name="_Toc43050028"/>
      <w:bookmarkStart w:id="170" w:name="_Toc46947975"/>
      <w:bookmarkStart w:id="171" w:name="_Toc48224427"/>
      <w:r>
        <w:rPr>
          <w:rFonts w:eastAsia="楷体"/>
          <w:b/>
          <w:szCs w:val="32"/>
        </w:rPr>
        <w:t>3</w:t>
      </w:r>
      <w:r>
        <w:rPr>
          <w:rFonts w:ascii="楷体" w:hAnsi="楷体" w:eastAsia="楷体"/>
          <w:b/>
          <w:szCs w:val="32"/>
        </w:rPr>
        <w:t>.</w:t>
      </w:r>
      <w:r>
        <w:rPr>
          <w:rFonts w:ascii="楷体" w:hAnsi="楷体" w:eastAsia="楷体"/>
          <w:b/>
          <w:szCs w:val="32"/>
        </w:rPr>
        <w:tab/>
      </w:r>
      <w:r>
        <w:rPr>
          <w:rFonts w:hint="eastAsia" w:ascii="楷体" w:hAnsi="楷体" w:eastAsia="楷体"/>
          <w:b/>
          <w:szCs w:val="32"/>
        </w:rPr>
        <w:t>“一二三五六”工作思路</w:t>
      </w:r>
      <w:bookmarkEnd w:id="169"/>
      <w:bookmarkEnd w:id="170"/>
      <w:bookmarkEnd w:id="171"/>
    </w:p>
    <w:p>
      <w:pPr>
        <w:ind w:firstLine="640"/>
        <w:rPr>
          <w:rFonts w:ascii="仿宋_GB2312"/>
          <w:szCs w:val="32"/>
        </w:rPr>
      </w:pPr>
      <w:r>
        <w:rPr>
          <w:rFonts w:hint="eastAsia" w:ascii="仿宋_GB2312"/>
          <w:szCs w:val="32"/>
        </w:rPr>
        <w:t>东丽区“十三五”规划提出的工作思路：紧紧把握率先全面建成高质量小康社会这一目标，切实强化依法治区、从严治党两个保障，着力突出城镇化建设、全面提升群众生活质量和水平、经济转型升级三个重点，牢固树立创新、协调、绿色、开放、共享五大发展理念，加快建设创新驱动先导区、先进制造业核心区、现代服务业聚集区、新型城镇化示范区、改革开放先行区、公共服务领先区。</w:t>
      </w:r>
    </w:p>
    <w:p>
      <w:pPr>
        <w:keepNext/>
        <w:keepLines/>
        <w:ind w:firstLine="643"/>
        <w:outlineLvl w:val="1"/>
        <w:rPr>
          <w:rFonts w:ascii="楷体" w:hAnsi="楷体" w:eastAsia="楷体"/>
          <w:b/>
          <w:szCs w:val="32"/>
        </w:rPr>
      </w:pPr>
      <w:bookmarkStart w:id="172" w:name="_Toc43050029"/>
      <w:bookmarkStart w:id="173" w:name="_Toc46947976"/>
      <w:bookmarkStart w:id="174" w:name="_Toc48224428"/>
      <w:r>
        <w:rPr>
          <w:rFonts w:eastAsia="楷体"/>
          <w:b/>
          <w:szCs w:val="32"/>
        </w:rPr>
        <w:t>4</w:t>
      </w:r>
      <w:r>
        <w:rPr>
          <w:rFonts w:ascii="楷体" w:hAnsi="楷体" w:eastAsia="楷体"/>
          <w:b/>
          <w:szCs w:val="32"/>
        </w:rPr>
        <w:t>.</w:t>
      </w:r>
      <w:r>
        <w:rPr>
          <w:rFonts w:ascii="楷体" w:hAnsi="楷体" w:eastAsia="楷体"/>
          <w:b/>
          <w:szCs w:val="32"/>
        </w:rPr>
        <w:tab/>
      </w:r>
      <w:r>
        <w:rPr>
          <w:rFonts w:hint="eastAsia" w:ascii="楷体" w:hAnsi="楷体" w:eastAsia="楷体"/>
          <w:b/>
          <w:szCs w:val="32"/>
        </w:rPr>
        <w:t>院所评估</w:t>
      </w:r>
      <w:bookmarkEnd w:id="172"/>
      <w:bookmarkEnd w:id="173"/>
      <w:bookmarkEnd w:id="174"/>
    </w:p>
    <w:p>
      <w:pPr>
        <w:ind w:firstLine="640"/>
        <w:rPr>
          <w:rFonts w:ascii="仿宋_GB2312"/>
          <w:szCs w:val="32"/>
        </w:rPr>
      </w:pPr>
      <w:r>
        <w:rPr>
          <w:rFonts w:hint="eastAsia" w:ascii="仿宋_GB2312"/>
          <w:szCs w:val="32"/>
        </w:rPr>
        <w:t>自“</w:t>
      </w:r>
      <w:r>
        <w:rPr>
          <w:szCs w:val="32"/>
        </w:rPr>
        <w:t>122</w:t>
      </w:r>
      <w:r>
        <w:rPr>
          <w:rFonts w:hint="eastAsia" w:ascii="仿宋_GB2312"/>
          <w:szCs w:val="32"/>
        </w:rPr>
        <w:t>”计划实施以来，东丽区引进了</w:t>
      </w:r>
      <w:r>
        <w:rPr>
          <w:szCs w:val="32"/>
        </w:rPr>
        <w:t>104</w:t>
      </w:r>
      <w:r>
        <w:rPr>
          <w:rFonts w:hint="eastAsia" w:ascii="仿宋_GB2312"/>
          <w:szCs w:val="32"/>
        </w:rPr>
        <w:t>家科研机构，但科研机构财政投入与产出不成比例、科技优势尚未转化为现实生产力，</w:t>
      </w:r>
      <w:r>
        <w:rPr>
          <w:szCs w:val="32"/>
        </w:rPr>
        <w:t>2018</w:t>
      </w:r>
      <w:r>
        <w:rPr>
          <w:rFonts w:hint="eastAsia" w:ascii="仿宋_GB2312"/>
          <w:szCs w:val="32"/>
        </w:rPr>
        <w:t>年开始我区启动科研机构评估工作，按照“分类－指标－评价－问题”的研究路线，对东丽区获得财政资金支持的</w:t>
      </w:r>
      <w:r>
        <w:rPr>
          <w:szCs w:val="32"/>
        </w:rPr>
        <w:t>39</w:t>
      </w:r>
      <w:r>
        <w:rPr>
          <w:rFonts w:hint="eastAsia" w:ascii="仿宋_GB2312"/>
          <w:szCs w:val="32"/>
        </w:rPr>
        <w:t>家科研机构发展情况进行了客观评价，并逐一提出调整方案和建议。</w:t>
      </w:r>
    </w:p>
    <w:p>
      <w:pPr>
        <w:keepNext/>
        <w:keepLines/>
        <w:ind w:firstLine="643"/>
        <w:outlineLvl w:val="1"/>
        <w:rPr>
          <w:rFonts w:ascii="楷体" w:hAnsi="楷体" w:eastAsia="楷体"/>
          <w:b/>
          <w:szCs w:val="32"/>
        </w:rPr>
      </w:pPr>
      <w:bookmarkStart w:id="175" w:name="_Toc43050030"/>
      <w:bookmarkStart w:id="176" w:name="_Toc46947977"/>
      <w:bookmarkStart w:id="177" w:name="_Toc48224429"/>
      <w:r>
        <w:rPr>
          <w:rFonts w:eastAsia="楷体"/>
          <w:b/>
          <w:szCs w:val="32"/>
        </w:rPr>
        <w:t>5</w:t>
      </w:r>
      <w:r>
        <w:rPr>
          <w:rFonts w:ascii="楷体" w:hAnsi="楷体" w:eastAsia="楷体"/>
          <w:b/>
          <w:szCs w:val="32"/>
        </w:rPr>
        <w:t>.</w:t>
      </w:r>
      <w:r>
        <w:rPr>
          <w:rFonts w:ascii="楷体" w:hAnsi="楷体" w:eastAsia="楷体"/>
          <w:b/>
          <w:szCs w:val="32"/>
        </w:rPr>
        <w:tab/>
      </w:r>
      <w:r>
        <w:rPr>
          <w:rFonts w:hint="eastAsia" w:ascii="楷体" w:hAnsi="楷体" w:eastAsia="楷体"/>
          <w:b/>
          <w:szCs w:val="32"/>
        </w:rPr>
        <w:t>“散乱污”治理</w:t>
      </w:r>
      <w:bookmarkEnd w:id="175"/>
      <w:bookmarkEnd w:id="176"/>
      <w:bookmarkEnd w:id="177"/>
    </w:p>
    <w:p>
      <w:pPr>
        <w:ind w:firstLine="640"/>
        <w:rPr>
          <w:rFonts w:ascii="仿宋_GB2312"/>
          <w:szCs w:val="32"/>
        </w:rPr>
      </w:pPr>
      <w:r>
        <w:rPr>
          <w:rFonts w:hint="eastAsia" w:ascii="仿宋_GB2312"/>
          <w:szCs w:val="32"/>
        </w:rPr>
        <w:t>“散”是指不符合城镇总体规划、土地利用规划、产业布局规划的工业企业。“乱”是指违法违规建设、违规生产经营的，以及使用闲置设施农业用房、教育、农房等非工业用房进行非法生产的工业企业。“污”是指违法违规排放、超标排放废水、废气、废渣的工业企业。</w:t>
      </w:r>
    </w:p>
    <w:p>
      <w:pPr>
        <w:keepNext/>
        <w:keepLines/>
        <w:ind w:firstLine="643"/>
        <w:outlineLvl w:val="1"/>
        <w:rPr>
          <w:rFonts w:ascii="楷体" w:hAnsi="楷体" w:eastAsia="楷体"/>
          <w:b/>
          <w:szCs w:val="32"/>
        </w:rPr>
      </w:pPr>
      <w:bookmarkStart w:id="178" w:name="_Toc43050031"/>
      <w:bookmarkStart w:id="179" w:name="_Toc46947978"/>
      <w:bookmarkStart w:id="180" w:name="_Toc48224430"/>
      <w:r>
        <w:rPr>
          <w:rFonts w:eastAsia="楷体"/>
          <w:b/>
          <w:szCs w:val="32"/>
        </w:rPr>
        <w:t>6</w:t>
      </w:r>
      <w:r>
        <w:rPr>
          <w:rFonts w:ascii="楷体" w:hAnsi="楷体" w:eastAsia="楷体"/>
          <w:b/>
          <w:szCs w:val="32"/>
        </w:rPr>
        <w:t>.</w:t>
      </w:r>
      <w:r>
        <w:rPr>
          <w:rFonts w:ascii="楷体" w:hAnsi="楷体" w:eastAsia="楷体"/>
          <w:b/>
          <w:szCs w:val="32"/>
        </w:rPr>
        <w:tab/>
      </w:r>
      <w:r>
        <w:rPr>
          <w:rFonts w:hint="eastAsia" w:ascii="楷体" w:hAnsi="楷体" w:eastAsia="楷体"/>
          <w:b/>
          <w:szCs w:val="32"/>
        </w:rPr>
        <w:t>高新技术企业倍增计划</w:t>
      </w:r>
      <w:bookmarkEnd w:id="178"/>
      <w:bookmarkEnd w:id="179"/>
      <w:bookmarkEnd w:id="180"/>
    </w:p>
    <w:p>
      <w:pPr>
        <w:ind w:firstLine="640"/>
        <w:rPr>
          <w:rFonts w:ascii="仿宋_GB2312"/>
          <w:szCs w:val="32"/>
        </w:rPr>
      </w:pPr>
      <w:r>
        <w:rPr>
          <w:szCs w:val="32"/>
        </w:rPr>
        <w:t>2019</w:t>
      </w:r>
      <w:r>
        <w:rPr>
          <w:rFonts w:hint="eastAsia" w:ascii="仿宋_GB2312"/>
          <w:szCs w:val="32"/>
        </w:rPr>
        <w:t>年</w:t>
      </w:r>
      <w:r>
        <w:rPr>
          <w:szCs w:val="32"/>
        </w:rPr>
        <w:t>9</w:t>
      </w:r>
      <w:r>
        <w:rPr>
          <w:rFonts w:hint="eastAsia" w:ascii="仿宋_GB2312"/>
          <w:szCs w:val="32"/>
        </w:rPr>
        <w:t>月，东丽区政府为深入实施创新驱动发展战略，贯彻落实《天津市创新型企业领军计划》，加速新动能引育，支撑东丽绿色高质量发展，制定高新技术企业倍增计划，推进新增高新技术企业跨越式增长，巩固存量高新技术企业发展基础，实现高新技术企业高质量发展。</w:t>
      </w:r>
    </w:p>
    <w:p>
      <w:pPr>
        <w:keepNext/>
        <w:keepLines/>
        <w:ind w:firstLine="643"/>
        <w:outlineLvl w:val="1"/>
        <w:rPr>
          <w:rFonts w:ascii="楷体" w:hAnsi="楷体" w:eastAsia="楷体"/>
          <w:b/>
          <w:szCs w:val="32"/>
        </w:rPr>
      </w:pPr>
      <w:bookmarkStart w:id="181" w:name="_Toc43050032"/>
      <w:bookmarkStart w:id="182" w:name="_Toc46947979"/>
      <w:bookmarkStart w:id="183" w:name="_Toc48224431"/>
      <w:r>
        <w:rPr>
          <w:rFonts w:eastAsia="楷体"/>
          <w:b/>
          <w:szCs w:val="32"/>
        </w:rPr>
        <w:t>7</w:t>
      </w:r>
      <w:r>
        <w:rPr>
          <w:rFonts w:ascii="楷体" w:hAnsi="楷体" w:eastAsia="楷体"/>
          <w:b/>
          <w:szCs w:val="32"/>
        </w:rPr>
        <w:t>.</w:t>
      </w:r>
      <w:r>
        <w:rPr>
          <w:rFonts w:ascii="楷体" w:hAnsi="楷体" w:eastAsia="楷体"/>
          <w:b/>
          <w:szCs w:val="32"/>
        </w:rPr>
        <w:tab/>
      </w:r>
      <w:r>
        <w:rPr>
          <w:rFonts w:hint="eastAsia" w:ascii="楷体" w:hAnsi="楷体" w:eastAsia="楷体"/>
          <w:b/>
          <w:szCs w:val="32"/>
        </w:rPr>
        <w:t>雏鹰企业</w:t>
      </w:r>
      <w:bookmarkEnd w:id="181"/>
      <w:bookmarkEnd w:id="182"/>
      <w:bookmarkEnd w:id="183"/>
    </w:p>
    <w:p>
      <w:pPr>
        <w:ind w:firstLine="640"/>
        <w:rPr>
          <w:rFonts w:ascii="仿宋_GB2312"/>
          <w:szCs w:val="32"/>
        </w:rPr>
      </w:pPr>
      <w:r>
        <w:rPr>
          <w:rFonts w:hint="eastAsia" w:ascii="仿宋_GB2312"/>
          <w:szCs w:val="32"/>
        </w:rPr>
        <w:t>指注册时间</w:t>
      </w:r>
      <w:r>
        <w:rPr>
          <w:szCs w:val="32"/>
        </w:rPr>
        <w:t>1</w:t>
      </w:r>
      <w:r>
        <w:rPr>
          <w:rFonts w:hint="eastAsia" w:ascii="仿宋_GB2312"/>
          <w:szCs w:val="32"/>
        </w:rPr>
        <w:t>年以上</w:t>
      </w:r>
      <w:r>
        <w:rPr>
          <w:szCs w:val="32"/>
        </w:rPr>
        <w:t>5</w:t>
      </w:r>
      <w:r>
        <w:rPr>
          <w:rFonts w:hint="eastAsia" w:ascii="仿宋_GB2312"/>
          <w:szCs w:val="32"/>
        </w:rPr>
        <w:t>年以下，上一年度营业收入不低于</w:t>
      </w:r>
      <w:r>
        <w:rPr>
          <w:szCs w:val="32"/>
        </w:rPr>
        <w:t>10</w:t>
      </w:r>
      <w:r>
        <w:rPr>
          <w:rFonts w:hint="eastAsia" w:ascii="仿宋_GB2312"/>
          <w:szCs w:val="32"/>
        </w:rPr>
        <w:t>万元，具有较强的创新能力，技术新、模式新，未来具有较高的发展潜力，按《天津市雏鹰和瞪羚企业评价办法（试行）》规定程序入库的初创企业。</w:t>
      </w:r>
    </w:p>
    <w:p>
      <w:pPr>
        <w:keepNext/>
        <w:keepLines/>
        <w:ind w:firstLine="643"/>
        <w:outlineLvl w:val="1"/>
        <w:rPr>
          <w:rFonts w:ascii="楷体" w:hAnsi="楷体" w:eastAsia="楷体"/>
          <w:b/>
          <w:szCs w:val="32"/>
        </w:rPr>
      </w:pPr>
      <w:bookmarkStart w:id="184" w:name="_Toc43050033"/>
      <w:bookmarkStart w:id="185" w:name="_Toc46947980"/>
      <w:bookmarkStart w:id="186" w:name="_Toc48224432"/>
      <w:r>
        <w:rPr>
          <w:rFonts w:eastAsia="楷体"/>
          <w:b/>
          <w:szCs w:val="32"/>
        </w:rPr>
        <w:t>8</w:t>
      </w:r>
      <w:r>
        <w:rPr>
          <w:rFonts w:ascii="楷体" w:hAnsi="楷体" w:eastAsia="楷体"/>
          <w:b/>
          <w:szCs w:val="32"/>
        </w:rPr>
        <w:t>.</w:t>
      </w:r>
      <w:r>
        <w:rPr>
          <w:rFonts w:ascii="楷体" w:hAnsi="楷体" w:eastAsia="楷体"/>
          <w:b/>
          <w:szCs w:val="32"/>
        </w:rPr>
        <w:tab/>
      </w:r>
      <w:r>
        <w:rPr>
          <w:rFonts w:hint="eastAsia" w:ascii="楷体" w:hAnsi="楷体" w:eastAsia="楷体"/>
          <w:b/>
          <w:szCs w:val="32"/>
        </w:rPr>
        <w:t>瞪羚企业</w:t>
      </w:r>
      <w:bookmarkEnd w:id="184"/>
      <w:bookmarkEnd w:id="185"/>
      <w:bookmarkEnd w:id="186"/>
    </w:p>
    <w:p>
      <w:pPr>
        <w:ind w:firstLine="640"/>
        <w:rPr>
          <w:rFonts w:ascii="仿宋_GB2312"/>
          <w:szCs w:val="32"/>
        </w:rPr>
      </w:pPr>
      <w:r>
        <w:rPr>
          <w:rFonts w:hint="eastAsia" w:ascii="仿宋_GB2312"/>
          <w:szCs w:val="32"/>
        </w:rPr>
        <w:t>指注册时间不超过</w:t>
      </w:r>
      <w:r>
        <w:rPr>
          <w:szCs w:val="32"/>
        </w:rPr>
        <w:t>20</w:t>
      </w:r>
      <w:r>
        <w:rPr>
          <w:rFonts w:hint="eastAsia" w:ascii="仿宋_GB2312"/>
          <w:szCs w:val="32"/>
        </w:rPr>
        <w:t>年，上一年度营业收入正增长，申报评价当年往前的第四个年度至上一年度营业收入复合增长率达到</w:t>
      </w:r>
      <w:r>
        <w:rPr>
          <w:szCs w:val="32"/>
        </w:rPr>
        <w:t>20</w:t>
      </w:r>
      <w:r>
        <w:rPr>
          <w:rFonts w:hint="eastAsia" w:ascii="仿宋_GB2312"/>
          <w:szCs w:val="32"/>
        </w:rPr>
        <w:t>%，进入爆发式增长阶段，按《天津市雏鹰和瞪羚企业评价办法（试行）》规定程序入库的创新型企业。</w:t>
      </w:r>
    </w:p>
    <w:p>
      <w:pPr>
        <w:keepNext/>
        <w:keepLines/>
        <w:ind w:firstLine="643"/>
        <w:outlineLvl w:val="1"/>
        <w:rPr>
          <w:rFonts w:ascii="楷体" w:hAnsi="楷体" w:eastAsia="楷体"/>
          <w:b/>
          <w:szCs w:val="32"/>
        </w:rPr>
      </w:pPr>
      <w:bookmarkStart w:id="187" w:name="_Toc43050034"/>
      <w:bookmarkStart w:id="188" w:name="_Toc46947981"/>
      <w:bookmarkStart w:id="189" w:name="_Toc48224433"/>
      <w:r>
        <w:rPr>
          <w:rFonts w:eastAsia="楷体"/>
          <w:b/>
          <w:szCs w:val="32"/>
        </w:rPr>
        <w:t>9</w:t>
      </w:r>
      <w:r>
        <w:rPr>
          <w:rFonts w:ascii="楷体" w:hAnsi="楷体" w:eastAsia="楷体"/>
          <w:b/>
          <w:szCs w:val="32"/>
        </w:rPr>
        <w:t>.</w:t>
      </w:r>
      <w:r>
        <w:rPr>
          <w:rFonts w:ascii="楷体" w:hAnsi="楷体" w:eastAsia="楷体"/>
          <w:b/>
          <w:szCs w:val="32"/>
        </w:rPr>
        <w:tab/>
      </w:r>
      <w:r>
        <w:rPr>
          <w:rFonts w:hint="eastAsia" w:ascii="楷体" w:hAnsi="楷体" w:eastAsia="楷体"/>
          <w:b/>
          <w:szCs w:val="32"/>
        </w:rPr>
        <w:t>科技资源支撑型特色载体</w:t>
      </w:r>
      <w:bookmarkEnd w:id="187"/>
      <w:bookmarkEnd w:id="188"/>
      <w:bookmarkEnd w:id="189"/>
    </w:p>
    <w:p>
      <w:pPr>
        <w:ind w:firstLine="640"/>
        <w:rPr>
          <w:rFonts w:ascii="仿宋_GB2312"/>
          <w:szCs w:val="32"/>
        </w:rPr>
      </w:pPr>
      <w:r>
        <w:rPr>
          <w:szCs w:val="32"/>
        </w:rPr>
        <w:t>2018</w:t>
      </w:r>
      <w:r>
        <w:rPr>
          <w:rFonts w:hint="eastAsia" w:ascii="仿宋_GB2312"/>
          <w:szCs w:val="32"/>
        </w:rPr>
        <w:t>年，工业和信息化部、科技部配合财政部印发了《关于支持打造特色载体推动中小企业创新创业升级的实施方案》，支持优质实体经济开发区打造不同类型的创新创业特色载体，推动地方构建各具特色的区域创新创业生态环境。</w:t>
      </w:r>
      <w:r>
        <w:rPr>
          <w:szCs w:val="32"/>
        </w:rPr>
        <w:t>2019</w:t>
      </w:r>
      <w:r>
        <w:rPr>
          <w:rFonts w:hint="eastAsia" w:ascii="仿宋_GB2312"/>
          <w:szCs w:val="32"/>
        </w:rPr>
        <w:t>年，东丽经开区获批建设科技资源支撑型特色载体。</w:t>
      </w:r>
    </w:p>
    <w:p>
      <w:pPr>
        <w:keepNext/>
        <w:keepLines/>
        <w:ind w:firstLine="643"/>
        <w:outlineLvl w:val="1"/>
        <w:rPr>
          <w:rFonts w:ascii="楷体" w:hAnsi="楷体" w:eastAsia="楷体"/>
          <w:b/>
          <w:szCs w:val="32"/>
        </w:rPr>
      </w:pPr>
      <w:bookmarkStart w:id="190" w:name="_Toc43050035"/>
      <w:bookmarkStart w:id="191" w:name="_Toc46947982"/>
      <w:bookmarkStart w:id="192" w:name="_Toc48224434"/>
      <w:r>
        <w:rPr>
          <w:rFonts w:eastAsia="楷体"/>
          <w:b/>
          <w:szCs w:val="32"/>
        </w:rPr>
        <w:t>10</w:t>
      </w:r>
      <w:r>
        <w:rPr>
          <w:rFonts w:ascii="楷体" w:hAnsi="楷体" w:eastAsia="楷体"/>
          <w:b/>
          <w:szCs w:val="32"/>
        </w:rPr>
        <w:t>.</w:t>
      </w:r>
      <w:r>
        <w:rPr>
          <w:rFonts w:ascii="楷体" w:hAnsi="楷体" w:eastAsia="楷体"/>
          <w:b/>
          <w:szCs w:val="32"/>
        </w:rPr>
        <w:tab/>
      </w:r>
      <w:r>
        <w:rPr>
          <w:rFonts w:hint="eastAsia" w:ascii="楷体" w:hAnsi="楷体" w:eastAsia="楷体"/>
          <w:b/>
          <w:szCs w:val="32"/>
        </w:rPr>
        <w:t>国家知识产权运营服务体系建设城市</w:t>
      </w:r>
      <w:bookmarkEnd w:id="190"/>
      <w:bookmarkEnd w:id="191"/>
      <w:bookmarkEnd w:id="192"/>
    </w:p>
    <w:p>
      <w:pPr>
        <w:ind w:firstLine="640"/>
        <w:rPr>
          <w:rFonts w:ascii="仿宋_GB2312"/>
          <w:szCs w:val="32"/>
        </w:rPr>
      </w:pPr>
      <w:r>
        <w:rPr>
          <w:rFonts w:hint="eastAsia" w:ascii="仿宋_GB2312"/>
          <w:szCs w:val="32"/>
        </w:rPr>
        <w:t>按照《财政部办公厅</w:t>
      </w:r>
      <w:r>
        <w:rPr>
          <w:rFonts w:ascii="仿宋_GB2312"/>
          <w:szCs w:val="32"/>
        </w:rPr>
        <w:t xml:space="preserve"> </w:t>
      </w:r>
      <w:r>
        <w:rPr>
          <w:rFonts w:hint="eastAsia" w:ascii="仿宋_GB2312"/>
          <w:szCs w:val="32"/>
        </w:rPr>
        <w:t>国家知识产权局办公室关于开展</w:t>
      </w:r>
      <w:r>
        <w:rPr>
          <w:szCs w:val="32"/>
        </w:rPr>
        <w:t>2019</w:t>
      </w:r>
      <w:r>
        <w:rPr>
          <w:rFonts w:hint="eastAsia" w:ascii="仿宋_GB2312"/>
          <w:szCs w:val="32"/>
        </w:rPr>
        <w:t>年知识产权运营服务体系建设工作的通知》（财办建〔</w:t>
      </w:r>
      <w:r>
        <w:rPr>
          <w:szCs w:val="32"/>
        </w:rPr>
        <w:t>2019</w:t>
      </w:r>
      <w:r>
        <w:rPr>
          <w:rFonts w:hint="eastAsia" w:ascii="仿宋_GB2312"/>
          <w:szCs w:val="32"/>
        </w:rPr>
        <w:t>〕</w:t>
      </w:r>
      <w:r>
        <w:rPr>
          <w:szCs w:val="32"/>
        </w:rPr>
        <w:t>70</w:t>
      </w:r>
      <w:r>
        <w:rPr>
          <w:rFonts w:hint="eastAsia" w:ascii="仿宋_GB2312"/>
          <w:szCs w:val="32"/>
        </w:rPr>
        <w:t>号）要求，国家知识产权局联合财政部开展知识产权运营服务体系建设重点城市的遴选工作。</w:t>
      </w:r>
      <w:r>
        <w:rPr>
          <w:szCs w:val="32"/>
        </w:rPr>
        <w:t>2019</w:t>
      </w:r>
      <w:r>
        <w:rPr>
          <w:rFonts w:hint="eastAsia" w:ascii="仿宋_GB2312"/>
          <w:szCs w:val="32"/>
        </w:rPr>
        <w:t>年</w:t>
      </w:r>
      <w:r>
        <w:rPr>
          <w:szCs w:val="32"/>
        </w:rPr>
        <w:t>5</w:t>
      </w:r>
      <w:r>
        <w:rPr>
          <w:rFonts w:hint="eastAsia" w:ascii="仿宋_GB2312"/>
          <w:szCs w:val="32"/>
        </w:rPr>
        <w:t>月，天津市东丽区入选知识产权运营服务体系建设重点城市。</w:t>
      </w:r>
    </w:p>
    <w:p>
      <w:pPr>
        <w:keepNext/>
        <w:keepLines/>
        <w:ind w:firstLine="643"/>
        <w:outlineLvl w:val="1"/>
        <w:rPr>
          <w:rFonts w:ascii="楷体" w:hAnsi="楷体" w:eastAsia="楷体"/>
          <w:b/>
          <w:szCs w:val="32"/>
        </w:rPr>
      </w:pPr>
      <w:bookmarkStart w:id="193" w:name="_Toc43050036"/>
      <w:bookmarkStart w:id="194" w:name="_Toc46947983"/>
      <w:bookmarkStart w:id="195" w:name="_Toc48224435"/>
      <w:r>
        <w:rPr>
          <w:rFonts w:eastAsia="楷体"/>
          <w:b/>
          <w:szCs w:val="32"/>
        </w:rPr>
        <w:t>11</w:t>
      </w:r>
      <w:r>
        <w:rPr>
          <w:rFonts w:ascii="楷体" w:hAnsi="楷体" w:eastAsia="楷体"/>
          <w:b/>
          <w:szCs w:val="32"/>
        </w:rPr>
        <w:t>.</w:t>
      </w:r>
      <w:r>
        <w:rPr>
          <w:rFonts w:ascii="楷体" w:hAnsi="楷体" w:eastAsia="楷体"/>
          <w:b/>
          <w:szCs w:val="32"/>
        </w:rPr>
        <w:tab/>
      </w:r>
      <w:r>
        <w:rPr>
          <w:rFonts w:hint="eastAsia" w:ascii="楷体" w:hAnsi="楷体" w:eastAsia="楷体"/>
          <w:b/>
          <w:szCs w:val="32"/>
        </w:rPr>
        <w:t>海绵城市</w:t>
      </w:r>
      <w:bookmarkEnd w:id="193"/>
      <w:bookmarkEnd w:id="194"/>
      <w:bookmarkEnd w:id="195"/>
    </w:p>
    <w:p>
      <w:pPr>
        <w:ind w:firstLine="640"/>
        <w:rPr>
          <w:rFonts w:ascii="仿宋_GB2312"/>
          <w:szCs w:val="32"/>
        </w:rPr>
      </w:pPr>
      <w:r>
        <w:rPr>
          <w:rFonts w:hint="eastAsia" w:ascii="仿宋_GB2312"/>
          <w:szCs w:val="32"/>
        </w:rPr>
        <w:t>是指城市能够像海绵一样，在适应环境变化和应对自然灾害等方面具有良好的“弹性”，下雨时吸水、蓄水、渗水、净水，需要时将蓄存的水“释放”并加以利用。</w:t>
      </w:r>
    </w:p>
    <w:p>
      <w:pPr>
        <w:keepNext/>
        <w:keepLines/>
        <w:ind w:firstLine="643"/>
        <w:outlineLvl w:val="1"/>
        <w:rPr>
          <w:rFonts w:ascii="楷体" w:hAnsi="楷体" w:eastAsia="楷体"/>
          <w:b/>
          <w:szCs w:val="32"/>
        </w:rPr>
      </w:pPr>
      <w:bookmarkStart w:id="196" w:name="_Toc43050037"/>
      <w:bookmarkStart w:id="197" w:name="_Toc46947984"/>
      <w:bookmarkStart w:id="198" w:name="_Toc48224436"/>
      <w:r>
        <w:rPr>
          <w:rFonts w:eastAsia="楷体"/>
          <w:b/>
          <w:szCs w:val="32"/>
        </w:rPr>
        <w:t>12</w:t>
      </w:r>
      <w:r>
        <w:rPr>
          <w:rFonts w:ascii="楷体" w:hAnsi="楷体" w:eastAsia="楷体"/>
          <w:b/>
          <w:szCs w:val="32"/>
        </w:rPr>
        <w:t>.</w:t>
      </w:r>
      <w:r>
        <w:rPr>
          <w:rFonts w:ascii="楷体" w:hAnsi="楷体" w:eastAsia="楷体"/>
          <w:b/>
          <w:szCs w:val="32"/>
        </w:rPr>
        <w:tab/>
      </w:r>
      <w:r>
        <w:rPr>
          <w:rFonts w:hint="eastAsia" w:ascii="楷体" w:hAnsi="楷体" w:eastAsia="楷体"/>
          <w:b/>
          <w:szCs w:val="32"/>
        </w:rPr>
        <w:t>全国文明城区</w:t>
      </w:r>
      <w:bookmarkEnd w:id="196"/>
      <w:bookmarkEnd w:id="197"/>
      <w:bookmarkEnd w:id="198"/>
    </w:p>
    <w:p>
      <w:pPr>
        <w:ind w:firstLine="640"/>
        <w:rPr>
          <w:rFonts w:ascii="仿宋_GB2312"/>
          <w:szCs w:val="32"/>
        </w:rPr>
      </w:pPr>
      <w:r>
        <w:rPr>
          <w:rFonts w:hint="eastAsia" w:ascii="仿宋_GB2312"/>
          <w:szCs w:val="32"/>
        </w:rPr>
        <w:t>全国文明城市是指在全面建设小康社会中市民整体素质和城市文明程度较高的城市，由中央文明办根据中央文明委《全国文明城市测评体系》，按照城市自主申报、省级择优推荐、中央部委审核、组织综合测评、听取市民意见、进行综合计分、媒体集中公示等评选程序，严谨规范组织评选。</w:t>
      </w:r>
    </w:p>
    <w:p>
      <w:pPr>
        <w:keepNext/>
        <w:keepLines/>
        <w:ind w:firstLine="643"/>
        <w:outlineLvl w:val="1"/>
        <w:rPr>
          <w:rFonts w:ascii="楷体" w:hAnsi="楷体" w:eastAsia="楷体"/>
          <w:b/>
          <w:szCs w:val="32"/>
        </w:rPr>
      </w:pPr>
      <w:bookmarkStart w:id="199" w:name="_Toc43050038"/>
      <w:bookmarkStart w:id="200" w:name="_Toc46947985"/>
      <w:bookmarkStart w:id="201" w:name="_Toc48224437"/>
      <w:r>
        <w:rPr>
          <w:rFonts w:eastAsia="楷体"/>
          <w:b/>
          <w:szCs w:val="32"/>
        </w:rPr>
        <w:t>13</w:t>
      </w:r>
      <w:r>
        <w:rPr>
          <w:rFonts w:ascii="楷体" w:hAnsi="楷体" w:eastAsia="楷体"/>
          <w:b/>
          <w:szCs w:val="32"/>
        </w:rPr>
        <w:t>.</w:t>
      </w:r>
      <w:r>
        <w:rPr>
          <w:rFonts w:ascii="楷体" w:hAnsi="楷体" w:eastAsia="楷体"/>
          <w:b/>
          <w:szCs w:val="32"/>
        </w:rPr>
        <w:tab/>
      </w:r>
      <w:r>
        <w:rPr>
          <w:rFonts w:hint="eastAsia" w:ascii="楷体" w:hAnsi="楷体" w:eastAsia="楷体"/>
          <w:b/>
          <w:szCs w:val="32"/>
        </w:rPr>
        <w:t>国家卫生区</w:t>
      </w:r>
      <w:bookmarkEnd w:id="199"/>
      <w:bookmarkEnd w:id="200"/>
      <w:bookmarkEnd w:id="201"/>
    </w:p>
    <w:p>
      <w:pPr>
        <w:ind w:firstLine="640"/>
        <w:rPr>
          <w:rFonts w:ascii="仿宋_GB2312"/>
          <w:szCs w:val="32"/>
        </w:rPr>
      </w:pPr>
      <w:r>
        <w:rPr>
          <w:rFonts w:hint="eastAsia" w:ascii="仿宋_GB2312"/>
          <w:szCs w:val="32"/>
        </w:rPr>
        <w:t>国家卫生城市（区）是由全国爱国卫生运动委员会办公室评选命名的国家级卫生优秀城市，国家卫生城市评审每</w:t>
      </w:r>
      <w:r>
        <w:rPr>
          <w:szCs w:val="32"/>
        </w:rPr>
        <w:t>3</w:t>
      </w:r>
      <w:r>
        <w:rPr>
          <w:rFonts w:hint="eastAsia" w:ascii="仿宋_GB2312"/>
          <w:szCs w:val="32"/>
        </w:rPr>
        <w:t>年为一个周期，每周期第</w:t>
      </w:r>
      <w:r>
        <w:rPr>
          <w:szCs w:val="32"/>
        </w:rPr>
        <w:t>2</w:t>
      </w:r>
      <w:r>
        <w:rPr>
          <w:rFonts w:hint="eastAsia" w:ascii="仿宋_GB2312"/>
          <w:szCs w:val="32"/>
        </w:rPr>
        <w:t>年</w:t>
      </w:r>
      <w:r>
        <w:rPr>
          <w:szCs w:val="32"/>
        </w:rPr>
        <w:t>6</w:t>
      </w:r>
      <w:r>
        <w:rPr>
          <w:rFonts w:hint="eastAsia" w:ascii="仿宋_GB2312"/>
          <w:szCs w:val="32"/>
        </w:rPr>
        <w:t>月底前均可申报，原则上第三年集中命名，自命名后每</w:t>
      </w:r>
      <w:r>
        <w:rPr>
          <w:szCs w:val="32"/>
        </w:rPr>
        <w:t>3</w:t>
      </w:r>
      <w:r>
        <w:rPr>
          <w:rFonts w:hint="eastAsia" w:ascii="仿宋_GB2312"/>
          <w:szCs w:val="32"/>
        </w:rPr>
        <w:t>年复审一次。</w:t>
      </w:r>
    </w:p>
    <w:p>
      <w:pPr>
        <w:keepNext/>
        <w:keepLines/>
        <w:ind w:firstLine="643"/>
        <w:outlineLvl w:val="1"/>
        <w:rPr>
          <w:rFonts w:ascii="楷体" w:hAnsi="楷体" w:eastAsia="楷体"/>
          <w:b/>
          <w:szCs w:val="32"/>
        </w:rPr>
      </w:pPr>
      <w:bookmarkStart w:id="202" w:name="_Toc43050039"/>
      <w:bookmarkStart w:id="203" w:name="_Toc46947986"/>
      <w:bookmarkStart w:id="204" w:name="_Toc48224438"/>
      <w:r>
        <w:rPr>
          <w:rFonts w:eastAsia="楷体"/>
          <w:b/>
          <w:szCs w:val="32"/>
        </w:rPr>
        <w:t>14</w:t>
      </w:r>
      <w:r>
        <w:rPr>
          <w:rFonts w:ascii="楷体" w:hAnsi="楷体" w:eastAsia="楷体"/>
          <w:b/>
          <w:szCs w:val="32"/>
        </w:rPr>
        <w:t>.</w:t>
      </w:r>
      <w:r>
        <w:rPr>
          <w:rFonts w:ascii="楷体" w:hAnsi="楷体" w:eastAsia="楷体"/>
          <w:b/>
          <w:szCs w:val="32"/>
        </w:rPr>
        <w:tab/>
      </w:r>
      <w:r>
        <w:rPr>
          <w:rFonts w:hint="eastAsia" w:ascii="楷体" w:hAnsi="楷体" w:eastAsia="楷体"/>
          <w:b/>
          <w:szCs w:val="32"/>
        </w:rPr>
        <w:t>环卫一体化</w:t>
      </w:r>
      <w:bookmarkEnd w:id="202"/>
      <w:bookmarkEnd w:id="203"/>
      <w:bookmarkEnd w:id="204"/>
    </w:p>
    <w:p>
      <w:pPr>
        <w:ind w:firstLine="640"/>
        <w:rPr>
          <w:rFonts w:ascii="仿宋_GB2312"/>
          <w:szCs w:val="32"/>
        </w:rPr>
      </w:pPr>
      <w:r>
        <w:rPr>
          <w:rFonts w:hint="eastAsia" w:ascii="仿宋_GB2312"/>
          <w:szCs w:val="32"/>
        </w:rPr>
        <w:t>环卫一体化主要包括作业方式一体化和城乡环卫一体化。作业方式一体化是指区域内的环卫服务作业，包括从分类、清扫、保洁、运输、中转、最终处理等的全过程，都由一家主体进行。城乡环卫一体化是指将城市与农村的环卫工作放在同等重要的位置，通过统一规划，统一安排，科学有序地开展环卫服务。</w:t>
      </w:r>
    </w:p>
    <w:p>
      <w:pPr>
        <w:keepNext/>
        <w:keepLines/>
        <w:ind w:firstLine="643"/>
        <w:outlineLvl w:val="1"/>
        <w:rPr>
          <w:rFonts w:ascii="楷体" w:hAnsi="楷体" w:eastAsia="楷体"/>
          <w:b/>
          <w:szCs w:val="32"/>
        </w:rPr>
      </w:pPr>
      <w:bookmarkStart w:id="205" w:name="_Toc43050040"/>
      <w:bookmarkStart w:id="206" w:name="_Toc46947987"/>
      <w:bookmarkStart w:id="207" w:name="_Toc48224439"/>
      <w:r>
        <w:rPr>
          <w:rFonts w:eastAsia="楷体"/>
          <w:b/>
          <w:szCs w:val="32"/>
        </w:rPr>
        <w:t>15</w:t>
      </w:r>
      <w:r>
        <w:rPr>
          <w:rFonts w:ascii="楷体" w:hAnsi="楷体" w:eastAsia="楷体"/>
          <w:b/>
          <w:szCs w:val="32"/>
        </w:rPr>
        <w:t>.</w:t>
      </w:r>
      <w:r>
        <w:rPr>
          <w:rFonts w:ascii="楷体" w:hAnsi="楷体" w:eastAsia="楷体"/>
          <w:b/>
          <w:szCs w:val="32"/>
        </w:rPr>
        <w:tab/>
      </w:r>
      <w:r>
        <w:rPr>
          <w:rFonts w:hint="eastAsia" w:ascii="楷体" w:hAnsi="楷体" w:eastAsia="楷体"/>
          <w:b/>
          <w:szCs w:val="32"/>
        </w:rPr>
        <w:t>医联体</w:t>
      </w:r>
      <w:bookmarkEnd w:id="205"/>
      <w:bookmarkEnd w:id="206"/>
      <w:bookmarkEnd w:id="207"/>
    </w:p>
    <w:p>
      <w:pPr>
        <w:ind w:firstLine="640"/>
        <w:rPr>
          <w:rFonts w:ascii="仿宋_GB2312"/>
          <w:szCs w:val="32"/>
        </w:rPr>
      </w:pPr>
      <w:r>
        <w:rPr>
          <w:rFonts w:hint="eastAsia" w:ascii="仿宋_GB2312"/>
          <w:szCs w:val="32"/>
        </w:rPr>
        <w:t>由三级公立医院或者业务能力较强的医院牵头，联合社区卫生服务机构、护理院、专业康复机构等，形成资源共享、分工协作的管理模式。在医联体内以人才共享、技术支持、检查互认、处方流动、服务衔接等为纽带进行合作。</w:t>
      </w:r>
    </w:p>
    <w:p>
      <w:pPr>
        <w:keepNext/>
        <w:keepLines/>
        <w:ind w:firstLine="643"/>
        <w:outlineLvl w:val="1"/>
        <w:rPr>
          <w:rFonts w:ascii="楷体" w:hAnsi="楷体" w:eastAsia="楷体"/>
          <w:b/>
          <w:szCs w:val="32"/>
        </w:rPr>
      </w:pPr>
      <w:bookmarkStart w:id="208" w:name="_Toc43050041"/>
      <w:bookmarkStart w:id="209" w:name="_Toc46947988"/>
      <w:bookmarkStart w:id="210" w:name="_Toc48224440"/>
      <w:r>
        <w:rPr>
          <w:rFonts w:eastAsia="楷体"/>
          <w:b/>
          <w:szCs w:val="32"/>
        </w:rPr>
        <w:t>16</w:t>
      </w:r>
      <w:r>
        <w:rPr>
          <w:rFonts w:ascii="楷体" w:hAnsi="楷体" w:eastAsia="楷体"/>
          <w:b/>
          <w:szCs w:val="32"/>
        </w:rPr>
        <w:t>.</w:t>
      </w:r>
      <w:r>
        <w:rPr>
          <w:rFonts w:ascii="楷体" w:hAnsi="楷体" w:eastAsia="楷体"/>
          <w:b/>
          <w:szCs w:val="32"/>
        </w:rPr>
        <w:tab/>
      </w:r>
      <w:r>
        <w:rPr>
          <w:rFonts w:hint="eastAsia" w:ascii="楷体" w:hAnsi="楷体" w:eastAsia="楷体"/>
          <w:b/>
          <w:szCs w:val="32"/>
        </w:rPr>
        <w:t>老年日间照料中心</w:t>
      </w:r>
      <w:bookmarkEnd w:id="208"/>
      <w:bookmarkEnd w:id="209"/>
      <w:bookmarkEnd w:id="210"/>
    </w:p>
    <w:p>
      <w:pPr>
        <w:ind w:firstLine="640"/>
        <w:rPr>
          <w:rFonts w:ascii="仿宋_GB2312"/>
          <w:szCs w:val="32"/>
        </w:rPr>
      </w:pPr>
      <w:r>
        <w:rPr>
          <w:rFonts w:hint="eastAsia" w:ascii="仿宋_GB2312"/>
          <w:szCs w:val="32"/>
        </w:rPr>
        <w:t>为社区内生活不能完全自理、日常生活需要一定照料的半失能老年人提供膳食供应、个人照顾、保健康复、休闲娱乐等日间托养服务的设施，服务对象包括高龄老人、空巢老人、残疾老人、优抚老人、低保或低收入老人等社区内需要日间照料所有老年人。</w:t>
      </w:r>
    </w:p>
    <w:p>
      <w:pPr>
        <w:keepNext/>
        <w:keepLines/>
        <w:ind w:firstLine="643"/>
        <w:outlineLvl w:val="1"/>
        <w:rPr>
          <w:rFonts w:ascii="楷体" w:hAnsi="楷体" w:eastAsia="楷体"/>
          <w:b/>
          <w:szCs w:val="32"/>
        </w:rPr>
      </w:pPr>
      <w:bookmarkStart w:id="211" w:name="_Toc43050042"/>
      <w:bookmarkStart w:id="212" w:name="_Toc46947989"/>
      <w:bookmarkStart w:id="213" w:name="_Toc48224441"/>
      <w:r>
        <w:rPr>
          <w:rFonts w:eastAsia="楷体"/>
          <w:b/>
          <w:szCs w:val="32"/>
        </w:rPr>
        <w:t>17</w:t>
      </w:r>
      <w:r>
        <w:rPr>
          <w:rFonts w:ascii="楷体" w:hAnsi="楷体" w:eastAsia="楷体"/>
          <w:b/>
          <w:szCs w:val="32"/>
        </w:rPr>
        <w:t>.</w:t>
      </w:r>
      <w:r>
        <w:rPr>
          <w:rFonts w:ascii="楷体" w:hAnsi="楷体" w:eastAsia="楷体"/>
          <w:b/>
          <w:szCs w:val="32"/>
        </w:rPr>
        <w:tab/>
      </w:r>
      <w:r>
        <w:rPr>
          <w:rFonts w:hint="eastAsia" w:ascii="楷体" w:hAnsi="楷体" w:eastAsia="楷体"/>
          <w:b/>
          <w:szCs w:val="32"/>
        </w:rPr>
        <w:t>园区围城治理</w:t>
      </w:r>
      <w:bookmarkEnd w:id="211"/>
      <w:bookmarkEnd w:id="212"/>
      <w:bookmarkEnd w:id="213"/>
    </w:p>
    <w:p>
      <w:pPr>
        <w:ind w:firstLine="640"/>
        <w:rPr>
          <w:rFonts w:ascii="仿宋_GB2312"/>
          <w:szCs w:val="32"/>
        </w:rPr>
      </w:pPr>
      <w:r>
        <w:rPr>
          <w:szCs w:val="32"/>
        </w:rPr>
        <w:t>2018</w:t>
      </w:r>
      <w:r>
        <w:rPr>
          <w:rFonts w:hint="eastAsia" w:ascii="仿宋_GB2312"/>
          <w:szCs w:val="32"/>
        </w:rPr>
        <w:t>年</w:t>
      </w:r>
      <w:r>
        <w:rPr>
          <w:szCs w:val="32"/>
        </w:rPr>
        <w:t>7</w:t>
      </w:r>
      <w:r>
        <w:rPr>
          <w:rFonts w:hint="eastAsia" w:ascii="仿宋_GB2312"/>
          <w:szCs w:val="32"/>
        </w:rPr>
        <w:t>月，天津市人民政府印发《天津市工业园区(集聚区)围城问题治理工作实施方案》，按照城市总体规划、土地利用总体规划、工业布局规划，该保留的保留、该整合的整合、该撤销取缔的撤销取缔，全面推动工业园区(集聚区)围城问题治理工作，加快工业布局优化，加速工业产业创新转型升级，努力打造创新型、开放型、生态型工业园区。</w:t>
      </w:r>
    </w:p>
    <w:p>
      <w:pPr>
        <w:keepNext/>
        <w:keepLines/>
        <w:ind w:firstLine="643"/>
        <w:outlineLvl w:val="1"/>
        <w:rPr>
          <w:rFonts w:ascii="楷体" w:hAnsi="楷体" w:eastAsia="楷体"/>
          <w:b/>
          <w:szCs w:val="32"/>
        </w:rPr>
      </w:pPr>
      <w:bookmarkStart w:id="214" w:name="_Toc46947990"/>
      <w:bookmarkStart w:id="215" w:name="_Toc48224442"/>
      <w:bookmarkStart w:id="216" w:name="_Toc43050044"/>
      <w:r>
        <w:rPr>
          <w:rFonts w:eastAsia="楷体"/>
          <w:b/>
          <w:szCs w:val="32"/>
        </w:rPr>
        <w:t>18</w:t>
      </w:r>
      <w:r>
        <w:rPr>
          <w:rFonts w:ascii="楷体" w:hAnsi="楷体" w:eastAsia="楷体"/>
          <w:b/>
          <w:szCs w:val="32"/>
        </w:rPr>
        <w:t>.</w:t>
      </w:r>
      <w:r>
        <w:rPr>
          <w:rFonts w:ascii="楷体" w:hAnsi="楷体" w:eastAsia="楷体"/>
          <w:b/>
          <w:szCs w:val="32"/>
        </w:rPr>
        <w:tab/>
      </w:r>
      <w:r>
        <w:rPr>
          <w:rFonts w:hint="eastAsia" w:ascii="楷体" w:hAnsi="楷体" w:eastAsia="楷体"/>
          <w:b/>
          <w:szCs w:val="32"/>
        </w:rPr>
        <w:t>钢铁围城治理</w:t>
      </w:r>
      <w:bookmarkEnd w:id="214"/>
      <w:bookmarkEnd w:id="215"/>
    </w:p>
    <w:p>
      <w:pPr>
        <w:ind w:firstLine="640"/>
        <w:rPr>
          <w:rFonts w:ascii="仿宋_GB2312"/>
          <w:szCs w:val="32"/>
        </w:rPr>
      </w:pPr>
      <w:r>
        <w:rPr>
          <w:szCs w:val="32"/>
        </w:rPr>
        <w:t>2017</w:t>
      </w:r>
      <w:r>
        <w:rPr>
          <w:rFonts w:hint="eastAsia" w:ascii="仿宋_GB2312"/>
          <w:szCs w:val="32"/>
        </w:rPr>
        <w:t>年中央第一环境保护督察组反馈意见中指出天津市长期以来产业结构偏重、排污强度较大，钢铁企业分布分散，形成“钢铁围城”现象。我区市属国有企业天钢集团和钢管集团被列在提升改造的范围内。</w:t>
      </w:r>
    </w:p>
    <w:p>
      <w:pPr>
        <w:keepNext/>
        <w:keepLines/>
        <w:ind w:firstLine="643"/>
        <w:outlineLvl w:val="1"/>
        <w:rPr>
          <w:rFonts w:ascii="楷体" w:hAnsi="楷体" w:eastAsia="楷体"/>
          <w:b/>
          <w:szCs w:val="32"/>
        </w:rPr>
      </w:pPr>
      <w:bookmarkStart w:id="217" w:name="_Toc46947991"/>
      <w:bookmarkStart w:id="218" w:name="_Toc48224443"/>
      <w:r>
        <w:rPr>
          <w:rFonts w:eastAsia="楷体"/>
          <w:b/>
          <w:szCs w:val="32"/>
        </w:rPr>
        <w:t>19</w:t>
      </w:r>
      <w:r>
        <w:rPr>
          <w:rFonts w:ascii="楷体" w:hAnsi="楷体" w:eastAsia="楷体"/>
          <w:b/>
          <w:szCs w:val="32"/>
        </w:rPr>
        <w:t>.</w:t>
      </w:r>
      <w:r>
        <w:rPr>
          <w:rFonts w:ascii="楷体" w:hAnsi="楷体" w:eastAsia="楷体"/>
          <w:b/>
          <w:szCs w:val="32"/>
        </w:rPr>
        <w:tab/>
      </w:r>
      <w:r>
        <w:rPr>
          <w:rFonts w:hint="eastAsia" w:ascii="楷体" w:hAnsi="楷体" w:eastAsia="楷体"/>
          <w:b/>
          <w:szCs w:val="32"/>
        </w:rPr>
        <w:t>绿色生态屏障</w:t>
      </w:r>
      <w:bookmarkEnd w:id="216"/>
      <w:bookmarkEnd w:id="217"/>
      <w:bookmarkEnd w:id="218"/>
    </w:p>
    <w:p>
      <w:pPr>
        <w:ind w:firstLine="640"/>
        <w:rPr>
          <w:rFonts w:ascii="仿宋_GB2312"/>
          <w:szCs w:val="32"/>
        </w:rPr>
      </w:pPr>
      <w:r>
        <w:rPr>
          <w:szCs w:val="32"/>
        </w:rPr>
        <w:t>2018</w:t>
      </w:r>
      <w:r>
        <w:rPr>
          <w:rFonts w:hint="eastAsia" w:ascii="仿宋_GB2312"/>
          <w:szCs w:val="32"/>
        </w:rPr>
        <w:t>年</w:t>
      </w:r>
      <w:r>
        <w:rPr>
          <w:szCs w:val="32"/>
        </w:rPr>
        <w:t>11</w:t>
      </w:r>
      <w:r>
        <w:rPr>
          <w:rFonts w:hint="eastAsia" w:ascii="仿宋_GB2312"/>
          <w:szCs w:val="32"/>
        </w:rPr>
        <w:t>月，市规划局关于印发《天津市加强滨海新区与中心城区中间地带规划管控建设绿色生态屏障实施细则》，按照细则要求，生态屏障区划分为三级管控区、实施分级管理。一级管控区内应当制定并实施生态修复方案，促进生态修复、完善生态链，除生态保护修复项目及其配套设施、农业生产和农村生活服务设施、乡村旅游设施、重大基础设施、重大民生保障设施和应急抢险救灾设施外不得建设其他项目。二级管控区内各类示范小城镇和特色小镇应按照《国家园林城镇标准》（建城[</w:t>
      </w:r>
      <w:r>
        <w:rPr>
          <w:szCs w:val="32"/>
        </w:rPr>
        <w:t>2016</w:t>
      </w:r>
      <w:r>
        <w:rPr>
          <w:rFonts w:ascii="仿宋_GB2312"/>
          <w:szCs w:val="32"/>
        </w:rPr>
        <w:t>]</w:t>
      </w:r>
      <w:r>
        <w:rPr>
          <w:szCs w:val="32"/>
        </w:rPr>
        <w:t>235</w:t>
      </w:r>
      <w:r>
        <w:rPr>
          <w:rFonts w:hint="eastAsia" w:ascii="仿宋_GB2312"/>
          <w:szCs w:val="32"/>
        </w:rPr>
        <w:t>号）进行规划建设，创建国家园林城镇，各类工业园区应加快整合步伐，加强工业企业污染治理，建立生态工业链，创建国家生态工业示范园区。三级管控区应当以内涵式发展为主，加强结构调整，实现产业转型升级，有序推动区域有机更新，着力提高发展质量和水平。</w:t>
      </w:r>
    </w:p>
    <w:p>
      <w:pPr>
        <w:keepNext/>
        <w:keepLines/>
        <w:ind w:firstLine="643"/>
        <w:outlineLvl w:val="1"/>
        <w:rPr>
          <w:rFonts w:ascii="楷体" w:hAnsi="楷体" w:eastAsia="楷体"/>
          <w:b/>
          <w:szCs w:val="32"/>
        </w:rPr>
      </w:pPr>
      <w:bookmarkStart w:id="219" w:name="_Toc43050045"/>
      <w:bookmarkStart w:id="220" w:name="_Toc46947992"/>
      <w:bookmarkStart w:id="221" w:name="_Toc48224444"/>
      <w:r>
        <w:rPr>
          <w:rFonts w:eastAsia="楷体"/>
          <w:b/>
          <w:szCs w:val="32"/>
        </w:rPr>
        <w:t>20</w:t>
      </w:r>
      <w:r>
        <w:rPr>
          <w:rFonts w:ascii="楷体" w:hAnsi="楷体" w:eastAsia="楷体"/>
          <w:b/>
          <w:szCs w:val="32"/>
        </w:rPr>
        <w:t>.</w:t>
      </w:r>
      <w:r>
        <w:rPr>
          <w:rFonts w:ascii="楷体" w:hAnsi="楷体" w:eastAsia="楷体"/>
          <w:b/>
          <w:szCs w:val="32"/>
        </w:rPr>
        <w:tab/>
      </w:r>
      <w:r>
        <w:rPr>
          <w:rFonts w:hint="eastAsia" w:ascii="楷体" w:hAnsi="楷体" w:eastAsia="楷体"/>
          <w:b/>
          <w:szCs w:val="32"/>
        </w:rPr>
        <w:t>“一制三化”</w:t>
      </w:r>
      <w:bookmarkEnd w:id="219"/>
      <w:bookmarkEnd w:id="220"/>
      <w:bookmarkEnd w:id="221"/>
    </w:p>
    <w:p>
      <w:pPr>
        <w:ind w:firstLine="640"/>
        <w:rPr>
          <w:rFonts w:ascii="仿宋_GB2312"/>
          <w:szCs w:val="32"/>
        </w:rPr>
      </w:pPr>
      <w:r>
        <w:rPr>
          <w:rFonts w:hint="eastAsia" w:ascii="仿宋_GB2312"/>
          <w:szCs w:val="32"/>
        </w:rPr>
        <w:t>《天津市“一制三化”审批制度改革实施方案》中所指出的承诺制、标准化、智能化、便利化。</w:t>
      </w:r>
    </w:p>
    <w:p>
      <w:pPr>
        <w:keepNext/>
        <w:keepLines/>
        <w:ind w:firstLine="643"/>
        <w:outlineLvl w:val="1"/>
        <w:rPr>
          <w:rFonts w:ascii="楷体" w:hAnsi="楷体" w:eastAsia="楷体"/>
          <w:b/>
          <w:szCs w:val="32"/>
        </w:rPr>
      </w:pPr>
      <w:bookmarkStart w:id="222" w:name="_Toc43050046"/>
      <w:bookmarkStart w:id="223" w:name="_Toc46947993"/>
      <w:bookmarkStart w:id="224" w:name="_Toc48224445"/>
      <w:r>
        <w:rPr>
          <w:rFonts w:eastAsia="楷体"/>
          <w:b/>
          <w:szCs w:val="32"/>
        </w:rPr>
        <w:t>21</w:t>
      </w:r>
      <w:r>
        <w:rPr>
          <w:rFonts w:ascii="楷体" w:hAnsi="楷体" w:eastAsia="楷体"/>
          <w:b/>
          <w:szCs w:val="32"/>
        </w:rPr>
        <w:t>.</w:t>
      </w:r>
      <w:r>
        <w:rPr>
          <w:rFonts w:ascii="楷体" w:hAnsi="楷体" w:eastAsia="楷体"/>
          <w:b/>
          <w:szCs w:val="32"/>
        </w:rPr>
        <w:tab/>
      </w:r>
      <w:r>
        <w:rPr>
          <w:rFonts w:hint="eastAsia" w:ascii="楷体" w:hAnsi="楷体" w:eastAsia="楷体"/>
          <w:b/>
          <w:szCs w:val="32"/>
        </w:rPr>
        <w:t>“一区多园”</w:t>
      </w:r>
      <w:bookmarkEnd w:id="222"/>
      <w:bookmarkEnd w:id="223"/>
      <w:bookmarkEnd w:id="224"/>
    </w:p>
    <w:p>
      <w:pPr>
        <w:ind w:firstLine="640"/>
        <w:rPr>
          <w:rFonts w:ascii="仿宋_GB2312"/>
          <w:szCs w:val="32"/>
        </w:rPr>
      </w:pPr>
      <w:r>
        <w:rPr>
          <w:rFonts w:hint="eastAsia" w:ascii="仿宋_GB2312"/>
          <w:szCs w:val="32"/>
        </w:rPr>
        <w:t>按照“一个发展平台、一个管理主体、一套班子队伍”的原则，将区内的军粮城园、重机园和金钟园等原有园区由东丽经开区实施合并托管。</w:t>
      </w:r>
    </w:p>
    <w:p>
      <w:pPr>
        <w:keepNext/>
        <w:keepLines/>
        <w:ind w:firstLine="643"/>
        <w:outlineLvl w:val="1"/>
        <w:rPr>
          <w:rFonts w:ascii="楷体" w:hAnsi="楷体" w:eastAsia="楷体"/>
          <w:b/>
          <w:szCs w:val="32"/>
        </w:rPr>
      </w:pPr>
      <w:bookmarkStart w:id="225" w:name="_Toc43050047"/>
      <w:bookmarkStart w:id="226" w:name="_Toc46947994"/>
      <w:bookmarkStart w:id="227" w:name="_Toc48224446"/>
      <w:r>
        <w:rPr>
          <w:rFonts w:eastAsia="楷体"/>
          <w:b/>
          <w:szCs w:val="32"/>
        </w:rPr>
        <w:t>22</w:t>
      </w:r>
      <w:r>
        <w:rPr>
          <w:rFonts w:ascii="楷体" w:hAnsi="楷体" w:eastAsia="楷体"/>
          <w:b/>
          <w:szCs w:val="32"/>
        </w:rPr>
        <w:t>.</w:t>
      </w:r>
      <w:r>
        <w:rPr>
          <w:rFonts w:ascii="楷体" w:hAnsi="楷体" w:eastAsia="楷体"/>
          <w:b/>
          <w:szCs w:val="32"/>
        </w:rPr>
        <w:tab/>
      </w:r>
      <w:r>
        <w:rPr>
          <w:rFonts w:hint="eastAsia" w:ascii="楷体" w:hAnsi="楷体" w:eastAsia="楷体"/>
          <w:b/>
          <w:szCs w:val="32"/>
        </w:rPr>
        <w:t>“三个着力”</w:t>
      </w:r>
      <w:bookmarkEnd w:id="225"/>
      <w:bookmarkEnd w:id="226"/>
      <w:bookmarkEnd w:id="227"/>
    </w:p>
    <w:p>
      <w:pPr>
        <w:ind w:firstLine="640"/>
        <w:rPr>
          <w:rFonts w:ascii="仿宋_GB2312"/>
          <w:szCs w:val="32"/>
        </w:rPr>
      </w:pPr>
      <w:r>
        <w:rPr>
          <w:rFonts w:hint="eastAsia" w:ascii="仿宋_GB2312"/>
          <w:szCs w:val="32"/>
        </w:rPr>
        <w:t>习近平总书记天津考察期间，提出“要着力提高发展质量和效益、着力保障和改善民生、着力加强和改善党的领导，加快打造美丽天津”的重要要求。</w:t>
      </w:r>
    </w:p>
    <w:p>
      <w:pPr>
        <w:keepNext/>
        <w:keepLines/>
        <w:ind w:firstLine="643"/>
        <w:outlineLvl w:val="1"/>
        <w:rPr>
          <w:rFonts w:ascii="楷体" w:hAnsi="楷体" w:eastAsia="楷体"/>
          <w:b/>
          <w:szCs w:val="32"/>
        </w:rPr>
      </w:pPr>
      <w:bookmarkStart w:id="228" w:name="_Toc43050048"/>
      <w:bookmarkStart w:id="229" w:name="_Toc46947995"/>
      <w:bookmarkStart w:id="230" w:name="_Toc48224447"/>
      <w:r>
        <w:rPr>
          <w:rFonts w:eastAsia="楷体"/>
          <w:b/>
          <w:szCs w:val="32"/>
        </w:rPr>
        <w:t>23</w:t>
      </w:r>
      <w:r>
        <w:rPr>
          <w:rFonts w:ascii="楷体" w:hAnsi="楷体" w:eastAsia="楷体"/>
          <w:b/>
          <w:szCs w:val="32"/>
        </w:rPr>
        <w:t>.</w:t>
      </w:r>
      <w:r>
        <w:rPr>
          <w:rFonts w:ascii="楷体" w:hAnsi="楷体" w:eastAsia="楷体"/>
          <w:b/>
          <w:szCs w:val="32"/>
        </w:rPr>
        <w:tab/>
      </w:r>
      <w:r>
        <w:rPr>
          <w:rFonts w:hint="eastAsia" w:ascii="楷体" w:hAnsi="楷体" w:eastAsia="楷体"/>
          <w:b/>
          <w:szCs w:val="32"/>
        </w:rPr>
        <w:t>第四次经济普查</w:t>
      </w:r>
      <w:bookmarkEnd w:id="228"/>
      <w:bookmarkEnd w:id="229"/>
      <w:bookmarkEnd w:id="230"/>
    </w:p>
    <w:p>
      <w:pPr>
        <w:ind w:firstLine="640"/>
        <w:rPr>
          <w:rFonts w:ascii="仿宋_GB2312"/>
          <w:szCs w:val="32"/>
        </w:rPr>
      </w:pPr>
      <w:r>
        <w:rPr>
          <w:rFonts w:hint="eastAsia" w:ascii="仿宋_GB2312"/>
          <w:szCs w:val="32"/>
        </w:rPr>
        <w:t>根据《全国经济普查条例》的规定，国务院决定于</w:t>
      </w:r>
      <w:r>
        <w:rPr>
          <w:szCs w:val="32"/>
        </w:rPr>
        <w:t>2018</w:t>
      </w:r>
      <w:r>
        <w:rPr>
          <w:rFonts w:hint="eastAsia" w:ascii="仿宋_GB2312"/>
          <w:szCs w:val="32"/>
        </w:rPr>
        <w:t>年开展第四次全国经济普查，普查的对象是在我国境内从事第二产业和第三产业的全部法人单位、产业活动单位和个体经营户</w:t>
      </w:r>
      <w:r>
        <w:rPr>
          <w:szCs w:val="32"/>
        </w:rPr>
        <w:t>2018</w:t>
      </w:r>
      <w:r>
        <w:rPr>
          <w:rFonts w:hint="eastAsia" w:ascii="仿宋_GB2312"/>
          <w:szCs w:val="32"/>
        </w:rPr>
        <w:t>年年度资料。第四次经济普查后，市局对各区经济数据进行核算，东丽区</w:t>
      </w:r>
      <w:r>
        <w:rPr>
          <w:szCs w:val="32"/>
        </w:rPr>
        <w:t>2018</w:t>
      </w:r>
      <w:r>
        <w:rPr>
          <w:rFonts w:hint="eastAsia" w:ascii="仿宋_GB2312"/>
          <w:szCs w:val="32"/>
        </w:rPr>
        <w:t>年地区生产总值由</w:t>
      </w:r>
      <w:r>
        <w:rPr>
          <w:szCs w:val="32"/>
        </w:rPr>
        <w:t>967</w:t>
      </w:r>
      <w:r>
        <w:rPr>
          <w:rFonts w:ascii="仿宋_GB2312"/>
          <w:szCs w:val="32"/>
        </w:rPr>
        <w:t>.</w:t>
      </w:r>
      <w:r>
        <w:rPr>
          <w:szCs w:val="32"/>
        </w:rPr>
        <w:t>68</w:t>
      </w:r>
      <w:r>
        <w:rPr>
          <w:rFonts w:hint="eastAsia" w:ascii="仿宋_GB2312"/>
          <w:szCs w:val="32"/>
        </w:rPr>
        <w:t>亿元降为</w:t>
      </w:r>
      <w:r>
        <w:rPr>
          <w:szCs w:val="32"/>
        </w:rPr>
        <w:t>619</w:t>
      </w:r>
      <w:r>
        <w:rPr>
          <w:rFonts w:ascii="仿宋_GB2312"/>
          <w:szCs w:val="32"/>
        </w:rPr>
        <w:t>.</w:t>
      </w:r>
      <w:r>
        <w:rPr>
          <w:szCs w:val="32"/>
        </w:rPr>
        <w:t>69</w:t>
      </w:r>
      <w:r>
        <w:rPr>
          <w:rFonts w:hint="eastAsia" w:ascii="仿宋_GB2312"/>
          <w:szCs w:val="32"/>
        </w:rPr>
        <w:t>亿元，减少</w:t>
      </w:r>
      <w:r>
        <w:rPr>
          <w:szCs w:val="32"/>
        </w:rPr>
        <w:t>36</w:t>
      </w:r>
      <w:r>
        <w:rPr>
          <w:rFonts w:hint="eastAsia" w:ascii="仿宋_GB2312"/>
          <w:szCs w:val="32"/>
        </w:rPr>
        <w:t>%。</w:t>
      </w:r>
    </w:p>
    <w:p>
      <w:pPr>
        <w:keepNext/>
        <w:keepLines/>
        <w:ind w:firstLine="643"/>
        <w:outlineLvl w:val="1"/>
        <w:rPr>
          <w:rFonts w:ascii="楷体" w:hAnsi="楷体" w:eastAsia="楷体"/>
          <w:b/>
          <w:szCs w:val="32"/>
        </w:rPr>
      </w:pPr>
      <w:bookmarkStart w:id="231" w:name="_Toc43050049"/>
      <w:bookmarkStart w:id="232" w:name="_Toc46947996"/>
      <w:bookmarkStart w:id="233" w:name="_Toc48224448"/>
      <w:r>
        <w:rPr>
          <w:rFonts w:eastAsia="楷体"/>
          <w:b/>
          <w:szCs w:val="32"/>
        </w:rPr>
        <w:t>24</w:t>
      </w:r>
      <w:r>
        <w:rPr>
          <w:rFonts w:ascii="楷体" w:hAnsi="楷体" w:eastAsia="楷体"/>
          <w:b/>
          <w:szCs w:val="32"/>
        </w:rPr>
        <w:t>.</w:t>
      </w:r>
      <w:r>
        <w:rPr>
          <w:rFonts w:ascii="楷体" w:hAnsi="楷体" w:eastAsia="楷体"/>
          <w:b/>
          <w:szCs w:val="32"/>
        </w:rPr>
        <w:tab/>
      </w:r>
      <w:r>
        <w:rPr>
          <w:rFonts w:hint="eastAsia" w:ascii="楷体" w:hAnsi="楷体" w:eastAsia="楷体"/>
          <w:b/>
          <w:szCs w:val="32"/>
        </w:rPr>
        <w:t>“</w:t>
      </w:r>
      <w:r>
        <w:rPr>
          <w:rFonts w:ascii="楷体" w:hAnsi="楷体" w:eastAsia="楷体"/>
          <w:b/>
          <w:szCs w:val="32"/>
        </w:rPr>
        <w:t>1+</w:t>
      </w:r>
      <w:r>
        <w:rPr>
          <w:rFonts w:eastAsia="楷体"/>
          <w:b/>
          <w:szCs w:val="32"/>
        </w:rPr>
        <w:t>3</w:t>
      </w:r>
      <w:r>
        <w:rPr>
          <w:rFonts w:ascii="楷体" w:hAnsi="楷体" w:eastAsia="楷体"/>
          <w:b/>
          <w:szCs w:val="32"/>
        </w:rPr>
        <w:t>+</w:t>
      </w:r>
      <w:r>
        <w:rPr>
          <w:rFonts w:eastAsia="楷体"/>
          <w:b/>
          <w:szCs w:val="32"/>
        </w:rPr>
        <w:t>4</w:t>
      </w:r>
      <w:r>
        <w:rPr>
          <w:rFonts w:hint="eastAsia" w:ascii="楷体" w:hAnsi="楷体" w:eastAsia="楷体"/>
          <w:b/>
          <w:szCs w:val="32"/>
        </w:rPr>
        <w:t>”产业体系</w:t>
      </w:r>
      <w:bookmarkEnd w:id="231"/>
      <w:bookmarkEnd w:id="232"/>
      <w:bookmarkEnd w:id="233"/>
    </w:p>
    <w:p>
      <w:pPr>
        <w:ind w:firstLine="640"/>
        <w:rPr>
          <w:rFonts w:ascii="仿宋_GB2312"/>
          <w:szCs w:val="32"/>
        </w:rPr>
      </w:pPr>
      <w:r>
        <w:rPr>
          <w:rFonts w:hint="eastAsia" w:ascii="仿宋_GB2312"/>
          <w:szCs w:val="32"/>
        </w:rPr>
        <w:t>天津市加快构建“</w:t>
      </w:r>
      <w:r>
        <w:rPr>
          <w:rFonts w:ascii="仿宋_GB2312"/>
          <w:szCs w:val="32"/>
        </w:rPr>
        <w:t>1+</w:t>
      </w:r>
      <w:r>
        <w:rPr>
          <w:szCs w:val="32"/>
        </w:rPr>
        <w:t>3</w:t>
      </w:r>
      <w:r>
        <w:rPr>
          <w:rFonts w:ascii="仿宋_GB2312"/>
          <w:szCs w:val="32"/>
        </w:rPr>
        <w:t>+</w:t>
      </w:r>
      <w:r>
        <w:rPr>
          <w:szCs w:val="32"/>
        </w:rPr>
        <w:t>4</w:t>
      </w:r>
      <w:r>
        <w:rPr>
          <w:rFonts w:hint="eastAsia" w:ascii="仿宋_GB2312"/>
          <w:szCs w:val="32"/>
        </w:rPr>
        <w:t>”产业体系，以智能科技产业为引领，加快培育生物医药、新能源、新材料</w:t>
      </w:r>
      <w:r>
        <w:rPr>
          <w:szCs w:val="32"/>
        </w:rPr>
        <w:t>3</w:t>
      </w:r>
      <w:r>
        <w:rPr>
          <w:rFonts w:hint="eastAsia" w:ascii="仿宋_GB2312"/>
          <w:szCs w:val="32"/>
        </w:rPr>
        <w:t>个新动能产业，改造提升航空航天、装备制造、汽车、石油化工</w:t>
      </w:r>
      <w:r>
        <w:rPr>
          <w:szCs w:val="32"/>
        </w:rPr>
        <w:t>4</w:t>
      </w:r>
      <w:r>
        <w:rPr>
          <w:rFonts w:hint="eastAsia" w:ascii="仿宋_GB2312"/>
          <w:szCs w:val="32"/>
        </w:rPr>
        <w:t>个传统优势产业。</w:t>
      </w:r>
    </w:p>
    <w:p>
      <w:pPr>
        <w:keepNext/>
        <w:keepLines/>
        <w:ind w:firstLine="643"/>
        <w:outlineLvl w:val="1"/>
        <w:rPr>
          <w:rFonts w:ascii="楷体" w:hAnsi="楷体" w:eastAsia="楷体"/>
          <w:b/>
          <w:szCs w:val="32"/>
        </w:rPr>
      </w:pPr>
      <w:bookmarkStart w:id="234" w:name="_Toc43050050"/>
      <w:bookmarkStart w:id="235" w:name="_Toc46947997"/>
      <w:bookmarkStart w:id="236" w:name="_Toc48224449"/>
      <w:r>
        <w:rPr>
          <w:rFonts w:eastAsia="楷体"/>
          <w:b/>
          <w:szCs w:val="32"/>
        </w:rPr>
        <w:t>25</w:t>
      </w:r>
      <w:r>
        <w:rPr>
          <w:rFonts w:ascii="楷体" w:hAnsi="楷体" w:eastAsia="楷体"/>
          <w:b/>
          <w:szCs w:val="32"/>
        </w:rPr>
        <w:t>.</w:t>
      </w:r>
      <w:r>
        <w:rPr>
          <w:rFonts w:ascii="楷体" w:hAnsi="楷体" w:eastAsia="楷体"/>
          <w:b/>
          <w:szCs w:val="32"/>
        </w:rPr>
        <w:tab/>
      </w:r>
      <w:r>
        <w:rPr>
          <w:rFonts w:hint="eastAsia" w:ascii="楷体" w:hAnsi="楷体" w:eastAsia="楷体"/>
          <w:b/>
          <w:szCs w:val="32"/>
        </w:rPr>
        <w:t>独角兽企业</w:t>
      </w:r>
      <w:bookmarkEnd w:id="234"/>
      <w:bookmarkEnd w:id="235"/>
      <w:bookmarkEnd w:id="236"/>
    </w:p>
    <w:p>
      <w:pPr>
        <w:ind w:firstLine="640"/>
        <w:rPr>
          <w:rFonts w:ascii="仿宋_GB2312"/>
          <w:szCs w:val="32"/>
        </w:rPr>
      </w:pPr>
      <w:r>
        <w:rPr>
          <w:rFonts w:hint="eastAsia" w:ascii="仿宋_GB2312"/>
          <w:szCs w:val="32"/>
        </w:rPr>
        <w:t>指注册时间不超过十年，获得过私募投资，且尚未上市，企业估值超过</w:t>
      </w:r>
      <w:r>
        <w:rPr>
          <w:szCs w:val="32"/>
        </w:rPr>
        <w:t>10</w:t>
      </w:r>
      <w:r>
        <w:rPr>
          <w:rFonts w:hint="eastAsia" w:ascii="仿宋_GB2312"/>
          <w:szCs w:val="32"/>
        </w:rPr>
        <w:t>亿美元的创新型企业。</w:t>
      </w:r>
    </w:p>
    <w:p>
      <w:pPr>
        <w:keepNext/>
        <w:keepLines/>
        <w:ind w:firstLine="643"/>
        <w:outlineLvl w:val="1"/>
        <w:rPr>
          <w:rFonts w:ascii="楷体" w:hAnsi="楷体" w:eastAsia="楷体"/>
          <w:b/>
          <w:szCs w:val="32"/>
        </w:rPr>
      </w:pPr>
      <w:bookmarkStart w:id="237" w:name="_Toc43050051"/>
      <w:bookmarkStart w:id="238" w:name="_Toc46947998"/>
      <w:bookmarkStart w:id="239" w:name="_Toc48224450"/>
      <w:r>
        <w:rPr>
          <w:rFonts w:eastAsia="楷体"/>
          <w:b/>
          <w:szCs w:val="32"/>
        </w:rPr>
        <w:t>26</w:t>
      </w:r>
      <w:r>
        <w:rPr>
          <w:rFonts w:ascii="楷体" w:hAnsi="楷体" w:eastAsia="楷体"/>
          <w:b/>
          <w:szCs w:val="32"/>
        </w:rPr>
        <w:t>.</w:t>
      </w:r>
      <w:r>
        <w:rPr>
          <w:rFonts w:ascii="楷体" w:hAnsi="楷体" w:eastAsia="楷体"/>
          <w:b/>
          <w:szCs w:val="32"/>
        </w:rPr>
        <w:tab/>
      </w:r>
      <w:r>
        <w:rPr>
          <w:rFonts w:hint="eastAsia" w:ascii="楷体" w:hAnsi="楷体" w:eastAsia="楷体"/>
          <w:b/>
          <w:szCs w:val="32"/>
        </w:rPr>
        <w:t>科技领军（培育）企业</w:t>
      </w:r>
      <w:bookmarkEnd w:id="237"/>
      <w:bookmarkEnd w:id="238"/>
      <w:bookmarkEnd w:id="239"/>
    </w:p>
    <w:p>
      <w:pPr>
        <w:ind w:firstLine="640"/>
        <w:rPr>
          <w:rFonts w:ascii="仿宋_GB2312"/>
          <w:szCs w:val="32"/>
        </w:rPr>
      </w:pPr>
      <w:r>
        <w:rPr>
          <w:rFonts w:hint="eastAsia" w:ascii="仿宋_GB2312"/>
          <w:szCs w:val="32"/>
        </w:rPr>
        <w:t>天津市内注册、具有独立法人资格的科技型企业，科技领军培育申报企业上年度主营业务收入须达到</w:t>
      </w:r>
      <w:r>
        <w:rPr>
          <w:szCs w:val="32"/>
        </w:rPr>
        <w:t>2</w:t>
      </w:r>
      <w:r>
        <w:rPr>
          <w:rFonts w:hint="eastAsia" w:ascii="仿宋_GB2312"/>
          <w:szCs w:val="32"/>
        </w:rPr>
        <w:t>亿元（含）以上，科技领军申报企业上年度主营业务收入须达到</w:t>
      </w:r>
      <w:r>
        <w:rPr>
          <w:szCs w:val="32"/>
        </w:rPr>
        <w:t>5</w:t>
      </w:r>
      <w:r>
        <w:rPr>
          <w:rFonts w:hint="eastAsia" w:ascii="仿宋_GB2312"/>
          <w:szCs w:val="32"/>
        </w:rPr>
        <w:t>亿元（含）以上，按《天津市科技领军企业和领军培育企业认定补助办法（试行）》规定程序认定的创新型企业。</w:t>
      </w:r>
    </w:p>
    <w:p>
      <w:pPr>
        <w:keepNext/>
        <w:keepLines/>
        <w:ind w:firstLine="643"/>
        <w:outlineLvl w:val="1"/>
        <w:rPr>
          <w:rFonts w:ascii="楷体" w:hAnsi="楷体" w:eastAsia="楷体"/>
          <w:b/>
          <w:szCs w:val="32"/>
        </w:rPr>
      </w:pPr>
      <w:bookmarkStart w:id="240" w:name="_Toc43050052"/>
      <w:bookmarkStart w:id="241" w:name="_Toc46947999"/>
      <w:bookmarkStart w:id="242" w:name="_Toc48224451"/>
      <w:r>
        <w:rPr>
          <w:rFonts w:eastAsia="楷体"/>
          <w:b/>
          <w:szCs w:val="32"/>
        </w:rPr>
        <w:t>27</w:t>
      </w:r>
      <w:r>
        <w:rPr>
          <w:rFonts w:ascii="楷体" w:hAnsi="楷体" w:eastAsia="楷体"/>
          <w:b/>
          <w:szCs w:val="32"/>
        </w:rPr>
        <w:t>.</w:t>
      </w:r>
      <w:r>
        <w:rPr>
          <w:rFonts w:ascii="楷体" w:hAnsi="楷体" w:eastAsia="楷体"/>
          <w:b/>
          <w:szCs w:val="32"/>
        </w:rPr>
        <w:tab/>
      </w:r>
      <w:r>
        <w:rPr>
          <w:rFonts w:hint="eastAsia" w:ascii="楷体" w:hAnsi="楷体" w:eastAsia="楷体"/>
          <w:b/>
          <w:szCs w:val="32"/>
        </w:rPr>
        <w:t>全域科普</w:t>
      </w:r>
      <w:bookmarkEnd w:id="240"/>
      <w:bookmarkEnd w:id="241"/>
      <w:bookmarkEnd w:id="242"/>
    </w:p>
    <w:p>
      <w:pPr>
        <w:ind w:firstLine="640"/>
        <w:rPr>
          <w:rFonts w:ascii="仿宋_GB2312"/>
          <w:szCs w:val="32"/>
        </w:rPr>
      </w:pPr>
      <w:r>
        <w:rPr>
          <w:rFonts w:hint="eastAsia" w:ascii="仿宋_GB2312"/>
          <w:szCs w:val="32"/>
        </w:rPr>
        <w:t>全领域行动、全地域覆盖、全媒体传播、全民参与共享的全域科普工作体系。</w:t>
      </w:r>
    </w:p>
    <w:p>
      <w:pPr>
        <w:keepNext/>
        <w:keepLines/>
        <w:ind w:firstLine="643"/>
        <w:outlineLvl w:val="1"/>
        <w:rPr>
          <w:rFonts w:eastAsia="楷体"/>
          <w:b/>
          <w:szCs w:val="32"/>
        </w:rPr>
      </w:pPr>
      <w:bookmarkStart w:id="243" w:name="_Toc46948000"/>
      <w:bookmarkStart w:id="244" w:name="_Toc48224452"/>
      <w:bookmarkStart w:id="245" w:name="_Toc43050053"/>
      <w:r>
        <w:rPr>
          <w:rFonts w:eastAsia="楷体"/>
          <w:b/>
          <w:szCs w:val="32"/>
        </w:rPr>
        <w:t>28.</w:t>
      </w:r>
      <w:r>
        <w:rPr>
          <w:rFonts w:eastAsia="楷体"/>
          <w:b/>
          <w:szCs w:val="32"/>
        </w:rPr>
        <w:tab/>
      </w:r>
      <w:r>
        <w:rPr>
          <w:rFonts w:hint="eastAsia" w:eastAsia="楷体"/>
          <w:b/>
          <w:szCs w:val="32"/>
        </w:rPr>
        <w:t>两园三馆四中心</w:t>
      </w:r>
      <w:bookmarkEnd w:id="243"/>
      <w:bookmarkEnd w:id="244"/>
    </w:p>
    <w:p>
      <w:pPr>
        <w:ind w:firstLine="640"/>
        <w:rPr>
          <w:rFonts w:ascii="仿宋_GB2312"/>
          <w:szCs w:val="32"/>
        </w:rPr>
      </w:pPr>
      <w:r>
        <w:rPr>
          <w:rFonts w:hint="eastAsia" w:ascii="仿宋_GB2312"/>
          <w:szCs w:val="32"/>
        </w:rPr>
        <w:t>包括华新街湖心公园、智慧公园、科技体验馆、自助图书馆、民俗体验馆和社区卫生服务中心、便民服务中心、综合文化中心、体育娱乐中心。</w:t>
      </w:r>
    </w:p>
    <w:p>
      <w:pPr>
        <w:keepNext/>
        <w:keepLines/>
        <w:ind w:firstLine="643"/>
        <w:outlineLvl w:val="1"/>
        <w:rPr>
          <w:rFonts w:eastAsia="楷体"/>
          <w:b/>
          <w:szCs w:val="32"/>
        </w:rPr>
      </w:pPr>
      <w:bookmarkStart w:id="246" w:name="_Toc46948001"/>
      <w:bookmarkStart w:id="247" w:name="_Toc48224453"/>
      <w:r>
        <w:rPr>
          <w:rFonts w:eastAsia="楷体"/>
          <w:b/>
          <w:szCs w:val="32"/>
        </w:rPr>
        <w:t>29.</w:t>
      </w:r>
      <w:r>
        <w:rPr>
          <w:rFonts w:hint="eastAsia" w:eastAsia="楷体"/>
          <w:b/>
          <w:szCs w:val="32"/>
        </w:rPr>
        <w:t>全周期管理</w:t>
      </w:r>
      <w:bookmarkEnd w:id="245"/>
      <w:bookmarkEnd w:id="246"/>
      <w:bookmarkEnd w:id="247"/>
    </w:p>
    <w:p>
      <w:pPr>
        <w:ind w:firstLine="640"/>
        <w:rPr>
          <w:rFonts w:ascii="仿宋_GB2312"/>
          <w:szCs w:val="32"/>
        </w:rPr>
      </w:pPr>
      <w:r>
        <w:rPr>
          <w:szCs w:val="32"/>
        </w:rPr>
        <w:t>2020</w:t>
      </w:r>
      <w:r>
        <w:rPr>
          <w:rFonts w:hint="eastAsia" w:ascii="仿宋_GB2312"/>
          <w:szCs w:val="32"/>
        </w:rPr>
        <w:t>年</w:t>
      </w:r>
      <w:r>
        <w:rPr>
          <w:szCs w:val="32"/>
        </w:rPr>
        <w:t>3</w:t>
      </w:r>
      <w:r>
        <w:rPr>
          <w:rFonts w:hint="eastAsia" w:ascii="仿宋_GB2312"/>
          <w:szCs w:val="32"/>
        </w:rPr>
        <w:t>月，习近平总书记在赴湖北省武汉市考察疫情防控时表示，要着力完善城市治理体系和城乡基层治理体系，树立“全周期管理”意识，努力探索超大城市现代化治理新路子。“全周期管理”是对推进城市治理体系和治理能力现代化的新要求。</w:t>
      </w:r>
    </w:p>
    <w:p>
      <w:pPr>
        <w:keepNext/>
        <w:keepLines/>
        <w:ind w:firstLine="643"/>
        <w:outlineLvl w:val="1"/>
        <w:rPr>
          <w:rFonts w:ascii="楷体" w:hAnsi="楷体" w:eastAsia="楷体"/>
          <w:b/>
          <w:szCs w:val="32"/>
        </w:rPr>
      </w:pPr>
      <w:bookmarkStart w:id="248" w:name="_Toc43050054"/>
      <w:bookmarkStart w:id="249" w:name="_Toc46948002"/>
      <w:bookmarkStart w:id="250" w:name="_Toc48224454"/>
      <w:r>
        <w:rPr>
          <w:rFonts w:eastAsia="楷体"/>
          <w:b/>
          <w:szCs w:val="32"/>
        </w:rPr>
        <w:t>29</w:t>
      </w:r>
      <w:r>
        <w:rPr>
          <w:rFonts w:ascii="楷体" w:hAnsi="楷体" w:eastAsia="楷体"/>
          <w:b/>
          <w:szCs w:val="32"/>
        </w:rPr>
        <w:t>.</w:t>
      </w:r>
      <w:r>
        <w:rPr>
          <w:rFonts w:ascii="楷体" w:hAnsi="楷体" w:eastAsia="楷体"/>
          <w:b/>
          <w:szCs w:val="32"/>
        </w:rPr>
        <w:tab/>
      </w:r>
      <w:r>
        <w:rPr>
          <w:rFonts w:hint="eastAsia" w:ascii="楷体" w:hAnsi="楷体" w:eastAsia="楷体"/>
          <w:b/>
          <w:szCs w:val="32"/>
        </w:rPr>
        <w:t>城市大脑</w:t>
      </w:r>
      <w:bookmarkEnd w:id="248"/>
      <w:bookmarkEnd w:id="249"/>
      <w:bookmarkEnd w:id="250"/>
    </w:p>
    <w:p>
      <w:pPr>
        <w:ind w:firstLine="640"/>
        <w:rPr>
          <w:rFonts w:ascii="仿宋_GB2312"/>
          <w:szCs w:val="32"/>
        </w:rPr>
      </w:pPr>
      <w:r>
        <w:rPr>
          <w:rFonts w:hint="eastAsia" w:ascii="仿宋_GB2312"/>
          <w:szCs w:val="32"/>
        </w:rPr>
        <w:t>以互联网为基础设施，基于城市所产生的数据资源，对城市进行全局的即时分析、指挥、调动、管理，最终实现对城市的精准分析、整体研判、协同指挥。</w:t>
      </w:r>
    </w:p>
    <w:p>
      <w:pPr>
        <w:keepNext/>
        <w:keepLines/>
        <w:ind w:firstLine="643"/>
        <w:outlineLvl w:val="1"/>
        <w:rPr>
          <w:rFonts w:ascii="楷体" w:hAnsi="楷体" w:eastAsia="楷体"/>
          <w:b/>
          <w:szCs w:val="32"/>
        </w:rPr>
      </w:pPr>
      <w:bookmarkStart w:id="251" w:name="_Toc43050055"/>
      <w:bookmarkStart w:id="252" w:name="_Toc46948003"/>
      <w:bookmarkStart w:id="253" w:name="_Toc48224455"/>
      <w:r>
        <w:rPr>
          <w:rFonts w:eastAsia="楷体"/>
          <w:b/>
          <w:szCs w:val="32"/>
        </w:rPr>
        <w:t>30</w:t>
      </w:r>
      <w:r>
        <w:rPr>
          <w:rFonts w:ascii="楷体" w:hAnsi="楷体" w:eastAsia="楷体"/>
          <w:b/>
          <w:szCs w:val="32"/>
        </w:rPr>
        <w:t>.</w:t>
      </w:r>
      <w:r>
        <w:rPr>
          <w:rFonts w:ascii="楷体" w:hAnsi="楷体" w:eastAsia="楷体"/>
          <w:b/>
          <w:szCs w:val="32"/>
        </w:rPr>
        <w:tab/>
      </w:r>
      <w:r>
        <w:rPr>
          <w:rFonts w:hint="eastAsia" w:ascii="楷体" w:hAnsi="楷体" w:eastAsia="楷体"/>
          <w:b/>
          <w:szCs w:val="32"/>
        </w:rPr>
        <w:t>“两纵三横”核心干道</w:t>
      </w:r>
      <w:bookmarkEnd w:id="251"/>
      <w:bookmarkEnd w:id="252"/>
      <w:bookmarkEnd w:id="253"/>
    </w:p>
    <w:p>
      <w:pPr>
        <w:ind w:firstLine="640"/>
        <w:rPr>
          <w:rFonts w:ascii="仿宋_GB2312"/>
          <w:szCs w:val="32"/>
        </w:rPr>
      </w:pPr>
      <w:r>
        <w:rPr>
          <w:rFonts w:hint="eastAsia" w:ascii="仿宋_GB2312"/>
          <w:szCs w:val="32"/>
        </w:rPr>
        <w:t>指津汉公路、津滨快速路和津塘公路三条横向干道与天津外环线、昆仑快速路两条纵向核心干道。</w:t>
      </w:r>
    </w:p>
    <w:p>
      <w:pPr>
        <w:keepNext/>
        <w:keepLines/>
        <w:ind w:firstLine="643"/>
        <w:outlineLvl w:val="1"/>
        <w:rPr>
          <w:rFonts w:ascii="楷体" w:hAnsi="楷体" w:eastAsia="楷体"/>
          <w:b/>
          <w:szCs w:val="32"/>
        </w:rPr>
      </w:pPr>
      <w:bookmarkStart w:id="254" w:name="_Toc43050056"/>
      <w:bookmarkStart w:id="255" w:name="_Toc46948004"/>
      <w:bookmarkStart w:id="256" w:name="_Toc48224456"/>
      <w:r>
        <w:rPr>
          <w:rFonts w:eastAsia="楷体"/>
          <w:b/>
          <w:szCs w:val="32"/>
        </w:rPr>
        <w:t>31</w:t>
      </w:r>
      <w:r>
        <w:rPr>
          <w:rFonts w:ascii="楷体" w:hAnsi="楷体" w:eastAsia="楷体"/>
          <w:b/>
          <w:szCs w:val="32"/>
        </w:rPr>
        <w:t>.</w:t>
      </w:r>
      <w:r>
        <w:rPr>
          <w:rFonts w:ascii="楷体" w:hAnsi="楷体" w:eastAsia="楷体"/>
          <w:b/>
          <w:szCs w:val="32"/>
        </w:rPr>
        <w:tab/>
      </w:r>
      <w:r>
        <w:rPr>
          <w:rFonts w:hint="eastAsia" w:ascii="楷体" w:hAnsi="楷体" w:eastAsia="楷体"/>
          <w:b/>
          <w:szCs w:val="32"/>
        </w:rPr>
        <w:t>信息基础设施</w:t>
      </w:r>
      <w:bookmarkEnd w:id="254"/>
      <w:bookmarkEnd w:id="255"/>
      <w:bookmarkEnd w:id="256"/>
    </w:p>
    <w:p>
      <w:pPr>
        <w:ind w:firstLine="640"/>
        <w:rPr>
          <w:rFonts w:ascii="仿宋_GB2312"/>
          <w:szCs w:val="32"/>
        </w:rPr>
      </w:pPr>
      <w:r>
        <w:rPr>
          <w:rFonts w:hint="eastAsia" w:ascii="仿宋_GB2312"/>
          <w:szCs w:val="32"/>
        </w:rPr>
        <w:t>基于新一代信息技术演化生成的基础设施，比如，以</w:t>
      </w:r>
      <w:r>
        <w:rPr>
          <w:szCs w:val="32"/>
        </w:rPr>
        <w:t>5G</w:t>
      </w:r>
      <w:r>
        <w:rPr>
          <w:rFonts w:hint="eastAsia" w:ascii="仿宋_GB2312"/>
          <w:szCs w:val="32"/>
        </w:rPr>
        <w:t>、物联网、工业互联网、卫星互联网为代表的通信网络基础设施，以人工智能、云计算、区块链等为代表的新技术基础设施，以数据中心、智能计算中心为代表的算力基础设施等。</w:t>
      </w:r>
    </w:p>
    <w:p>
      <w:pPr>
        <w:keepNext/>
        <w:keepLines/>
        <w:ind w:firstLine="643"/>
        <w:outlineLvl w:val="1"/>
        <w:rPr>
          <w:rFonts w:ascii="楷体" w:hAnsi="楷体" w:eastAsia="楷体"/>
          <w:b/>
          <w:szCs w:val="32"/>
        </w:rPr>
      </w:pPr>
      <w:bookmarkStart w:id="257" w:name="_Toc43050057"/>
      <w:bookmarkStart w:id="258" w:name="_Toc46948005"/>
      <w:bookmarkStart w:id="259" w:name="_Toc48224457"/>
      <w:r>
        <w:rPr>
          <w:rFonts w:eastAsia="楷体"/>
          <w:b/>
          <w:szCs w:val="32"/>
        </w:rPr>
        <w:t>32</w:t>
      </w:r>
      <w:r>
        <w:rPr>
          <w:rFonts w:ascii="楷体" w:hAnsi="楷体" w:eastAsia="楷体"/>
          <w:b/>
          <w:szCs w:val="32"/>
        </w:rPr>
        <w:t>.</w:t>
      </w:r>
      <w:r>
        <w:rPr>
          <w:rFonts w:ascii="楷体" w:hAnsi="楷体" w:eastAsia="楷体"/>
          <w:b/>
          <w:szCs w:val="32"/>
        </w:rPr>
        <w:tab/>
      </w:r>
      <w:r>
        <w:rPr>
          <w:rFonts w:hint="eastAsia" w:ascii="楷体" w:hAnsi="楷体" w:eastAsia="楷体"/>
          <w:b/>
          <w:szCs w:val="32"/>
        </w:rPr>
        <w:t>融合基础设施</w:t>
      </w:r>
      <w:bookmarkEnd w:id="257"/>
      <w:bookmarkEnd w:id="258"/>
      <w:bookmarkEnd w:id="259"/>
    </w:p>
    <w:p>
      <w:pPr>
        <w:ind w:firstLine="640"/>
        <w:rPr>
          <w:rFonts w:ascii="仿宋_GB2312"/>
          <w:szCs w:val="32"/>
        </w:rPr>
      </w:pPr>
      <w:r>
        <w:rPr>
          <w:rFonts w:hint="eastAsia" w:ascii="仿宋_GB2312"/>
          <w:szCs w:val="32"/>
        </w:rPr>
        <w:t>深度应用互联网、大数据、人工智能等技术，支撑传统基础设施转型升级，进而形成的融合基础设施，比如，智能交通基础设施、智慧能源基础设施等。</w:t>
      </w:r>
    </w:p>
    <w:p>
      <w:pPr>
        <w:keepNext/>
        <w:keepLines/>
        <w:ind w:firstLine="643"/>
        <w:outlineLvl w:val="1"/>
        <w:rPr>
          <w:rFonts w:ascii="楷体" w:hAnsi="楷体" w:eastAsia="楷体"/>
          <w:b/>
          <w:szCs w:val="32"/>
        </w:rPr>
      </w:pPr>
      <w:bookmarkStart w:id="260" w:name="_Toc43050058"/>
      <w:bookmarkStart w:id="261" w:name="_Toc46948006"/>
      <w:bookmarkStart w:id="262" w:name="_Toc48224458"/>
      <w:r>
        <w:rPr>
          <w:rFonts w:eastAsia="楷体"/>
          <w:b/>
          <w:szCs w:val="32"/>
        </w:rPr>
        <w:t>33</w:t>
      </w:r>
      <w:r>
        <w:rPr>
          <w:rFonts w:ascii="楷体" w:hAnsi="楷体" w:eastAsia="楷体"/>
          <w:b/>
          <w:szCs w:val="32"/>
        </w:rPr>
        <w:t>.</w:t>
      </w:r>
      <w:r>
        <w:rPr>
          <w:rFonts w:ascii="楷体" w:hAnsi="楷体" w:eastAsia="楷体"/>
          <w:b/>
          <w:szCs w:val="32"/>
        </w:rPr>
        <w:tab/>
      </w:r>
      <w:r>
        <w:rPr>
          <w:rFonts w:hint="eastAsia" w:ascii="楷体" w:hAnsi="楷体" w:eastAsia="楷体"/>
          <w:b/>
          <w:szCs w:val="32"/>
        </w:rPr>
        <w:t>“</w:t>
      </w:r>
      <w:r>
        <w:rPr>
          <w:rFonts w:eastAsia="楷体"/>
          <w:b/>
          <w:szCs w:val="32"/>
        </w:rPr>
        <w:t>13015</w:t>
      </w:r>
      <w:r>
        <w:rPr>
          <w:rFonts w:hint="eastAsia" w:ascii="楷体" w:hAnsi="楷体" w:eastAsia="楷体"/>
          <w:b/>
          <w:szCs w:val="32"/>
        </w:rPr>
        <w:t>”交通圈</w:t>
      </w:r>
      <w:bookmarkEnd w:id="260"/>
      <w:bookmarkEnd w:id="261"/>
      <w:bookmarkEnd w:id="262"/>
    </w:p>
    <w:p>
      <w:pPr>
        <w:ind w:firstLine="640"/>
        <w:rPr>
          <w:rFonts w:ascii="仿宋_GB2312"/>
          <w:szCs w:val="32"/>
        </w:rPr>
      </w:pPr>
      <w:r>
        <w:rPr>
          <w:szCs w:val="32"/>
        </w:rPr>
        <w:t>1</w:t>
      </w:r>
      <w:r>
        <w:rPr>
          <w:rFonts w:hint="eastAsia" w:ascii="仿宋_GB2312"/>
          <w:szCs w:val="32"/>
        </w:rPr>
        <w:t>小时内可以到达周边主要地市（北京、雄安等）的“</w:t>
      </w:r>
      <w:r>
        <w:rPr>
          <w:szCs w:val="32"/>
        </w:rPr>
        <w:t>1</w:t>
      </w:r>
      <w:r>
        <w:rPr>
          <w:rFonts w:hint="eastAsia" w:ascii="仿宋_GB2312"/>
          <w:szCs w:val="32"/>
        </w:rPr>
        <w:t>小时交通圈”，</w:t>
      </w:r>
      <w:r>
        <w:rPr>
          <w:szCs w:val="32"/>
        </w:rPr>
        <w:t>30</w:t>
      </w:r>
      <w:r>
        <w:rPr>
          <w:rFonts w:hint="eastAsia" w:ascii="仿宋_GB2312"/>
          <w:szCs w:val="32"/>
        </w:rPr>
        <w:t>分钟内可到达津滨双城的“</w:t>
      </w:r>
      <w:r>
        <w:rPr>
          <w:szCs w:val="32"/>
        </w:rPr>
        <w:t>30</w:t>
      </w:r>
      <w:r>
        <w:rPr>
          <w:rFonts w:hint="eastAsia" w:ascii="仿宋_GB2312"/>
          <w:szCs w:val="32"/>
        </w:rPr>
        <w:t>分钟交通圈”，</w:t>
      </w:r>
      <w:r>
        <w:rPr>
          <w:szCs w:val="32"/>
        </w:rPr>
        <w:t>15</w:t>
      </w:r>
      <w:r>
        <w:rPr>
          <w:rFonts w:hint="eastAsia" w:ascii="仿宋_GB2312"/>
          <w:szCs w:val="32"/>
        </w:rPr>
        <w:t>分钟内可从所在居住组团到达外围任一组团的“</w:t>
      </w:r>
      <w:r>
        <w:rPr>
          <w:szCs w:val="32"/>
        </w:rPr>
        <w:t>15</w:t>
      </w:r>
      <w:r>
        <w:rPr>
          <w:rFonts w:hint="eastAsia" w:ascii="仿宋_GB2312"/>
          <w:szCs w:val="32"/>
        </w:rPr>
        <w:t>分钟交通圈”。</w:t>
      </w:r>
    </w:p>
    <w:p>
      <w:pPr>
        <w:keepNext/>
        <w:keepLines/>
        <w:ind w:firstLine="643"/>
        <w:outlineLvl w:val="1"/>
        <w:rPr>
          <w:rFonts w:ascii="楷体" w:hAnsi="楷体" w:eastAsia="楷体"/>
          <w:b/>
          <w:szCs w:val="32"/>
        </w:rPr>
      </w:pPr>
      <w:bookmarkStart w:id="263" w:name="_Toc43050059"/>
      <w:bookmarkStart w:id="264" w:name="_Toc46948007"/>
      <w:bookmarkStart w:id="265" w:name="_Toc48224459"/>
      <w:r>
        <w:rPr>
          <w:rFonts w:eastAsia="楷体"/>
          <w:b/>
          <w:szCs w:val="32"/>
        </w:rPr>
        <w:t>34</w:t>
      </w:r>
      <w:r>
        <w:rPr>
          <w:rFonts w:ascii="楷体" w:hAnsi="楷体" w:eastAsia="楷体"/>
          <w:b/>
          <w:szCs w:val="32"/>
        </w:rPr>
        <w:t>.</w:t>
      </w:r>
      <w:r>
        <w:rPr>
          <w:rFonts w:ascii="楷体" w:hAnsi="楷体" w:eastAsia="楷体"/>
          <w:b/>
          <w:szCs w:val="32"/>
        </w:rPr>
        <w:tab/>
      </w:r>
      <w:r>
        <w:rPr>
          <w:rFonts w:hint="eastAsia" w:ascii="楷体" w:hAnsi="楷体" w:eastAsia="楷体"/>
          <w:b/>
          <w:szCs w:val="32"/>
        </w:rPr>
        <w:t>教育信息化</w:t>
      </w:r>
      <w:r>
        <w:rPr>
          <w:rFonts w:eastAsia="楷体"/>
          <w:b/>
          <w:szCs w:val="32"/>
        </w:rPr>
        <w:t>2</w:t>
      </w:r>
      <w:r>
        <w:rPr>
          <w:rFonts w:ascii="楷体" w:hAnsi="楷体" w:eastAsia="楷体"/>
          <w:b/>
          <w:szCs w:val="32"/>
        </w:rPr>
        <w:t>.</w:t>
      </w:r>
      <w:r>
        <w:rPr>
          <w:rFonts w:eastAsia="楷体"/>
          <w:b/>
          <w:szCs w:val="32"/>
        </w:rPr>
        <w:t>0</w:t>
      </w:r>
      <w:r>
        <w:rPr>
          <w:rFonts w:hint="eastAsia" w:ascii="楷体" w:hAnsi="楷体" w:eastAsia="楷体"/>
          <w:b/>
          <w:szCs w:val="32"/>
        </w:rPr>
        <w:t>行动计划</w:t>
      </w:r>
      <w:bookmarkEnd w:id="263"/>
      <w:bookmarkEnd w:id="264"/>
      <w:bookmarkEnd w:id="265"/>
    </w:p>
    <w:p>
      <w:pPr>
        <w:ind w:firstLine="640"/>
        <w:rPr>
          <w:rFonts w:ascii="仿宋_GB2312"/>
          <w:szCs w:val="32"/>
        </w:rPr>
      </w:pPr>
      <w:r>
        <w:rPr>
          <w:szCs w:val="32"/>
        </w:rPr>
        <w:t>2018</w:t>
      </w:r>
      <w:r>
        <w:rPr>
          <w:rFonts w:hint="eastAsia" w:ascii="仿宋_GB2312"/>
          <w:szCs w:val="32"/>
        </w:rPr>
        <w:t>年</w:t>
      </w:r>
      <w:r>
        <w:rPr>
          <w:szCs w:val="32"/>
        </w:rPr>
        <w:t>4</w:t>
      </w:r>
      <w:r>
        <w:rPr>
          <w:rFonts w:hint="eastAsia" w:ascii="仿宋_GB2312"/>
          <w:szCs w:val="32"/>
        </w:rPr>
        <w:t>月，教育部关于《教育信息化</w:t>
      </w:r>
      <w:r>
        <w:rPr>
          <w:szCs w:val="32"/>
        </w:rPr>
        <w:t>2</w:t>
      </w:r>
      <w:r>
        <w:rPr>
          <w:rFonts w:ascii="仿宋_GB2312"/>
          <w:szCs w:val="32"/>
        </w:rPr>
        <w:t>.</w:t>
      </w:r>
      <w:r>
        <w:rPr>
          <w:szCs w:val="32"/>
        </w:rPr>
        <w:t>0</w:t>
      </w:r>
      <w:r>
        <w:rPr>
          <w:rFonts w:hint="eastAsia" w:ascii="仿宋_GB2312"/>
          <w:szCs w:val="32"/>
        </w:rPr>
        <w:t>行动计划》，积极推进“互联网+教育”，坚持信息技术与教育教学深度融合的核心理念，坚持应用驱动和机制创新的基本方针，建立健全教育信息化可持续发展机制，构建网络化、数字化、智能化、个性化、终身化的教育体系。</w:t>
      </w:r>
    </w:p>
    <w:p>
      <w:pPr>
        <w:keepNext/>
        <w:keepLines/>
        <w:ind w:firstLine="643"/>
        <w:outlineLvl w:val="1"/>
        <w:rPr>
          <w:rFonts w:ascii="楷体" w:hAnsi="楷体" w:eastAsia="楷体"/>
          <w:b/>
          <w:szCs w:val="32"/>
        </w:rPr>
      </w:pPr>
      <w:bookmarkStart w:id="266" w:name="_Toc43050060"/>
      <w:bookmarkStart w:id="267" w:name="_Toc46948008"/>
      <w:bookmarkStart w:id="268" w:name="_Toc48224460"/>
      <w:r>
        <w:rPr>
          <w:rFonts w:eastAsia="楷体"/>
          <w:b/>
          <w:szCs w:val="32"/>
        </w:rPr>
        <w:t>35</w:t>
      </w:r>
      <w:r>
        <w:rPr>
          <w:rFonts w:ascii="楷体" w:hAnsi="楷体" w:eastAsia="楷体"/>
          <w:b/>
          <w:szCs w:val="32"/>
        </w:rPr>
        <w:t>.</w:t>
      </w:r>
      <w:r>
        <w:rPr>
          <w:rFonts w:ascii="楷体" w:hAnsi="楷体" w:eastAsia="楷体"/>
          <w:b/>
          <w:szCs w:val="32"/>
        </w:rPr>
        <w:tab/>
      </w:r>
      <w:r>
        <w:rPr>
          <w:rFonts w:hint="eastAsia" w:ascii="楷体" w:hAnsi="楷体" w:eastAsia="楷体"/>
          <w:b/>
          <w:szCs w:val="32"/>
        </w:rPr>
        <w:t>区管校聘</w:t>
      </w:r>
      <w:bookmarkEnd w:id="266"/>
      <w:bookmarkEnd w:id="267"/>
      <w:bookmarkEnd w:id="268"/>
    </w:p>
    <w:p>
      <w:pPr>
        <w:ind w:firstLine="640"/>
        <w:rPr>
          <w:rFonts w:ascii="仿宋_GB2312"/>
          <w:szCs w:val="32"/>
        </w:rPr>
      </w:pPr>
      <w:r>
        <w:rPr>
          <w:rFonts w:hint="eastAsia" w:ascii="仿宋_GB2312"/>
          <w:szCs w:val="32"/>
        </w:rPr>
        <w:t>由区教委建立编制岗位总量控制、动态调整、统筹使用机制，合理配置区域内教师资源。由学校建立中小学教师按岗聘用、竞争择优、强化考核机制，落实中小学用人自主权。</w:t>
      </w:r>
    </w:p>
    <w:p>
      <w:pPr>
        <w:keepNext/>
        <w:keepLines/>
        <w:ind w:firstLine="643"/>
        <w:outlineLvl w:val="1"/>
        <w:rPr>
          <w:rFonts w:ascii="楷体" w:hAnsi="楷体" w:eastAsia="楷体"/>
          <w:b/>
          <w:szCs w:val="32"/>
        </w:rPr>
      </w:pPr>
      <w:bookmarkStart w:id="269" w:name="_Toc43050061"/>
      <w:bookmarkStart w:id="270" w:name="_Toc46948009"/>
      <w:bookmarkStart w:id="271" w:name="_Toc48224461"/>
      <w:r>
        <w:rPr>
          <w:rFonts w:eastAsia="楷体"/>
          <w:b/>
          <w:szCs w:val="32"/>
        </w:rPr>
        <w:t>36</w:t>
      </w:r>
      <w:r>
        <w:rPr>
          <w:rFonts w:ascii="楷体" w:hAnsi="楷体" w:eastAsia="楷体"/>
          <w:b/>
          <w:szCs w:val="32"/>
        </w:rPr>
        <w:t>.</w:t>
      </w:r>
      <w:r>
        <w:rPr>
          <w:rFonts w:ascii="楷体" w:hAnsi="楷体" w:eastAsia="楷体"/>
          <w:b/>
          <w:szCs w:val="32"/>
        </w:rPr>
        <w:tab/>
      </w:r>
      <w:r>
        <w:rPr>
          <w:rFonts w:hint="eastAsia" w:ascii="楷体" w:hAnsi="楷体" w:eastAsia="楷体"/>
          <w:b/>
          <w:szCs w:val="32"/>
        </w:rPr>
        <w:t>三级公共文化设施</w:t>
      </w:r>
      <w:bookmarkEnd w:id="269"/>
      <w:bookmarkEnd w:id="270"/>
      <w:bookmarkEnd w:id="271"/>
    </w:p>
    <w:p>
      <w:pPr>
        <w:ind w:firstLine="640"/>
        <w:rPr>
          <w:rFonts w:ascii="仿宋_GB2312"/>
          <w:szCs w:val="32"/>
        </w:rPr>
      </w:pPr>
      <w:r>
        <w:rPr>
          <w:rFonts w:hint="eastAsia" w:ascii="仿宋_GB2312"/>
          <w:szCs w:val="32"/>
        </w:rPr>
        <w:t>以文化馆与图书馆为龙头，以乡镇、街道综合文化站为枢纽，以村居综合性文化服务中心为基础的公共文化服务网络体系。</w:t>
      </w:r>
    </w:p>
    <w:p>
      <w:pPr>
        <w:keepNext/>
        <w:keepLines/>
        <w:ind w:firstLine="643"/>
        <w:outlineLvl w:val="1"/>
        <w:rPr>
          <w:rFonts w:ascii="楷体" w:hAnsi="楷体" w:eastAsia="楷体"/>
          <w:b/>
          <w:szCs w:val="32"/>
        </w:rPr>
      </w:pPr>
      <w:bookmarkStart w:id="272" w:name="_Toc43050062"/>
      <w:bookmarkStart w:id="273" w:name="_Toc46948010"/>
      <w:bookmarkStart w:id="274" w:name="_Toc48224462"/>
      <w:r>
        <w:rPr>
          <w:rFonts w:eastAsia="楷体"/>
          <w:b/>
          <w:szCs w:val="32"/>
        </w:rPr>
        <w:t>37</w:t>
      </w:r>
      <w:r>
        <w:rPr>
          <w:rFonts w:ascii="楷体" w:hAnsi="楷体" w:eastAsia="楷体"/>
          <w:b/>
          <w:szCs w:val="32"/>
        </w:rPr>
        <w:t>.</w:t>
      </w:r>
      <w:r>
        <w:rPr>
          <w:rFonts w:ascii="楷体" w:hAnsi="楷体" w:eastAsia="楷体"/>
          <w:b/>
          <w:szCs w:val="32"/>
        </w:rPr>
        <w:tab/>
      </w:r>
      <w:r>
        <w:rPr>
          <w:rFonts w:hint="eastAsia" w:ascii="楷体" w:hAnsi="楷体" w:eastAsia="楷体"/>
          <w:b/>
          <w:szCs w:val="32"/>
        </w:rPr>
        <w:t>喘息服务</w:t>
      </w:r>
      <w:bookmarkEnd w:id="272"/>
      <w:bookmarkEnd w:id="273"/>
      <w:bookmarkEnd w:id="274"/>
    </w:p>
    <w:p>
      <w:pPr>
        <w:ind w:firstLine="640"/>
        <w:rPr>
          <w:rFonts w:ascii="仿宋_GB2312"/>
          <w:szCs w:val="32"/>
        </w:rPr>
      </w:pPr>
      <w:r>
        <w:rPr>
          <w:rFonts w:hint="eastAsia" w:ascii="仿宋_GB2312"/>
          <w:szCs w:val="32"/>
        </w:rPr>
        <w:t>由政府或民间机构牵头，成立专门的队伍，经过一定培训后，提供临时照顾失能老人的服务，给照料老人的家属一个喘息的机会。</w:t>
      </w:r>
    </w:p>
    <w:p>
      <w:pPr>
        <w:keepNext/>
        <w:keepLines/>
        <w:ind w:firstLine="643"/>
        <w:outlineLvl w:val="1"/>
        <w:rPr>
          <w:rFonts w:ascii="楷体" w:hAnsi="楷体" w:eastAsia="楷体"/>
          <w:b/>
          <w:szCs w:val="32"/>
        </w:rPr>
      </w:pPr>
      <w:bookmarkStart w:id="275" w:name="_Toc43050063"/>
      <w:bookmarkStart w:id="276" w:name="_Toc46948011"/>
      <w:bookmarkStart w:id="277" w:name="_Toc48224463"/>
      <w:r>
        <w:rPr>
          <w:rFonts w:eastAsia="楷体"/>
          <w:b/>
          <w:szCs w:val="32"/>
        </w:rPr>
        <w:t>38</w:t>
      </w:r>
      <w:r>
        <w:rPr>
          <w:rFonts w:ascii="楷体" w:hAnsi="楷体" w:eastAsia="楷体"/>
          <w:b/>
          <w:szCs w:val="32"/>
        </w:rPr>
        <w:t>.</w:t>
      </w:r>
      <w:r>
        <w:rPr>
          <w:rFonts w:ascii="楷体" w:hAnsi="楷体" w:eastAsia="楷体"/>
          <w:b/>
          <w:szCs w:val="32"/>
        </w:rPr>
        <w:tab/>
      </w:r>
      <w:r>
        <w:rPr>
          <w:rFonts w:hint="eastAsia" w:ascii="楷体" w:hAnsi="楷体" w:eastAsia="楷体"/>
          <w:b/>
          <w:szCs w:val="32"/>
        </w:rPr>
        <w:t>医养结合</w:t>
      </w:r>
      <w:bookmarkEnd w:id="275"/>
      <w:bookmarkEnd w:id="276"/>
      <w:bookmarkEnd w:id="277"/>
    </w:p>
    <w:p>
      <w:pPr>
        <w:ind w:firstLine="640"/>
        <w:rPr>
          <w:rFonts w:ascii="仿宋_GB2312"/>
          <w:szCs w:val="32"/>
        </w:rPr>
      </w:pPr>
      <w:r>
        <w:rPr>
          <w:rFonts w:hint="eastAsia" w:ascii="仿宋_GB2312"/>
          <w:szCs w:val="32"/>
        </w:rPr>
        <w:t>将现代医疗服务技术与养老保障模式有效结合，面向居家、社区、机构养老的老年人，在提供基本生活照料服务的基础上，提供医疗卫生方面的服务。</w:t>
      </w:r>
    </w:p>
    <w:p>
      <w:pPr>
        <w:keepNext/>
        <w:keepLines/>
        <w:ind w:firstLine="643"/>
        <w:outlineLvl w:val="1"/>
        <w:rPr>
          <w:rFonts w:ascii="楷体" w:hAnsi="楷体" w:eastAsia="楷体"/>
          <w:b/>
          <w:szCs w:val="32"/>
        </w:rPr>
      </w:pPr>
      <w:bookmarkStart w:id="278" w:name="_Toc43050064"/>
      <w:bookmarkStart w:id="279" w:name="_Toc46948012"/>
      <w:bookmarkStart w:id="280" w:name="_Toc48224464"/>
      <w:r>
        <w:rPr>
          <w:rFonts w:eastAsia="楷体"/>
          <w:b/>
          <w:szCs w:val="32"/>
        </w:rPr>
        <w:t>39</w:t>
      </w:r>
      <w:r>
        <w:rPr>
          <w:rFonts w:ascii="楷体" w:hAnsi="楷体" w:eastAsia="楷体"/>
          <w:b/>
          <w:szCs w:val="32"/>
        </w:rPr>
        <w:t>.</w:t>
      </w:r>
      <w:r>
        <w:rPr>
          <w:rFonts w:ascii="楷体" w:hAnsi="楷体" w:eastAsia="楷体"/>
          <w:b/>
          <w:szCs w:val="32"/>
        </w:rPr>
        <w:tab/>
      </w:r>
      <w:r>
        <w:rPr>
          <w:rFonts w:hint="eastAsia" w:ascii="楷体" w:hAnsi="楷体" w:eastAsia="楷体"/>
          <w:b/>
          <w:szCs w:val="32"/>
        </w:rPr>
        <w:t>一廊两芯两环六片区</w:t>
      </w:r>
      <w:bookmarkEnd w:id="278"/>
      <w:bookmarkEnd w:id="279"/>
      <w:bookmarkEnd w:id="280"/>
    </w:p>
    <w:p>
      <w:pPr>
        <w:ind w:firstLine="640"/>
        <w:rPr>
          <w:rFonts w:ascii="仿宋_GB2312"/>
          <w:szCs w:val="32"/>
        </w:rPr>
      </w:pPr>
      <w:r>
        <w:rPr>
          <w:rFonts w:hint="eastAsia" w:ascii="仿宋_GB2312"/>
          <w:szCs w:val="32"/>
        </w:rPr>
        <w:t>“一廊”为古海岸湿地绿廊，“两芯”为蓝芯、绿芯，“两环”为南绿环、北绿环，“六片区”为金钟河湿地片区、双湖富氧游憩区、华明有机田园区、文化融合体验区、林水涵养区、环境防护区。</w:t>
      </w:r>
    </w:p>
    <w:p>
      <w:pPr>
        <w:keepNext/>
        <w:keepLines/>
        <w:ind w:firstLine="643"/>
        <w:outlineLvl w:val="1"/>
        <w:rPr>
          <w:rFonts w:ascii="楷体" w:hAnsi="楷体" w:eastAsia="楷体"/>
          <w:b/>
          <w:szCs w:val="32"/>
        </w:rPr>
      </w:pPr>
      <w:bookmarkStart w:id="281" w:name="_Toc43050065"/>
      <w:bookmarkStart w:id="282" w:name="_Toc46948013"/>
      <w:bookmarkStart w:id="283" w:name="_Toc48224465"/>
      <w:r>
        <w:rPr>
          <w:rFonts w:eastAsia="楷体"/>
          <w:b/>
          <w:szCs w:val="32"/>
        </w:rPr>
        <w:t>40</w:t>
      </w:r>
      <w:r>
        <w:rPr>
          <w:rFonts w:ascii="楷体" w:hAnsi="楷体" w:eastAsia="楷体"/>
          <w:b/>
          <w:szCs w:val="32"/>
        </w:rPr>
        <w:t>.</w:t>
      </w:r>
      <w:r>
        <w:rPr>
          <w:rFonts w:ascii="楷体" w:hAnsi="楷体" w:eastAsia="楷体"/>
          <w:b/>
          <w:szCs w:val="32"/>
        </w:rPr>
        <w:tab/>
      </w:r>
      <w:r>
        <w:rPr>
          <w:rFonts w:hint="eastAsia" w:ascii="楷体" w:hAnsi="楷体" w:eastAsia="楷体"/>
          <w:b/>
          <w:szCs w:val="32"/>
        </w:rPr>
        <w:t>无废城市</w:t>
      </w:r>
      <w:bookmarkEnd w:id="281"/>
      <w:bookmarkEnd w:id="282"/>
      <w:bookmarkEnd w:id="283"/>
    </w:p>
    <w:p>
      <w:pPr>
        <w:ind w:firstLine="640"/>
        <w:rPr>
          <w:rFonts w:ascii="仿宋_GB2312"/>
          <w:szCs w:val="32"/>
        </w:rPr>
      </w:pPr>
      <w:r>
        <w:rPr>
          <w:rFonts w:hint="eastAsia" w:ascii="仿宋_GB2312"/>
          <w:szCs w:val="32"/>
        </w:rPr>
        <w:t>以创新、协调、绿色、开放、共享的新发展理念为引领，通过推动形成绿色发展方式和生活方式，持续推进固体废物源头减量和资源化利用，最大限度减少填埋量，将固体废物环境影响降至最低的城市发展模式。</w:t>
      </w:r>
    </w:p>
    <w:sectPr>
      <w:headerReference r:id="rId14" w:type="first"/>
      <w:footerReference r:id="rId17" w:type="first"/>
      <w:headerReference r:id="rId12" w:type="default"/>
      <w:footerReference r:id="rId15" w:type="default"/>
      <w:headerReference r:id="rId13" w:type="even"/>
      <w:footerReference r:id="rId16" w:type="even"/>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p>
  </w:endnote>
  <w:endnote w:type="continuationSeparator" w:id="1">
    <w:p>
      <w:pPr>
        <w:spacing w:line="240" w:lineRule="auto"/>
        <w:ind w:firstLine="6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37577611"/>
    </w:sdtPr>
    <w:sdtContent>
      <w:p>
        <w:pPr>
          <w:pStyle w:val="8"/>
          <w:ind w:firstLine="360"/>
          <w:jc w:val="center"/>
        </w:pPr>
        <w:r>
          <w:fldChar w:fldCharType="begin"/>
        </w:r>
        <w:r>
          <w:instrText xml:space="preserve">PAGE   \* MERGEFORMAT</w:instrText>
        </w:r>
        <w:r>
          <w:fldChar w:fldCharType="separate"/>
        </w:r>
        <w:r>
          <w:rPr>
            <w:lang w:val="zh-CN"/>
          </w:rPr>
          <w:t>II</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4828520"/>
    </w:sdtPr>
    <w:sdtContent>
      <w:p>
        <w:pPr>
          <w:pStyle w:val="8"/>
          <w:ind w:firstLine="360"/>
          <w:jc w:val="center"/>
        </w:pPr>
        <w:r>
          <w:fldChar w:fldCharType="begin"/>
        </w:r>
        <w:r>
          <w:instrText xml:space="preserve">PAGE   \* MERGEFORMAT</w:instrText>
        </w:r>
        <w:r>
          <w:fldChar w:fldCharType="separate"/>
        </w:r>
        <w:r>
          <w:rPr>
            <w:lang w:val="zh-CN"/>
          </w:rPr>
          <w:t>19</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6">
    <w:p>
      <w:pPr>
        <w:spacing w:line="240" w:lineRule="auto"/>
        <w:ind w:firstLine="640"/>
      </w:pPr>
    </w:p>
  </w:footnote>
  <w:footnote w:type="continuationSeparator" w:id="7">
    <w:p>
      <w:pPr>
        <w:spacing w:line="240" w:lineRule="auto"/>
        <w:ind w:firstLine="640"/>
      </w:pPr>
    </w:p>
  </w:footnote>
  <w:footnote w:id="0">
    <w:p>
      <w:pPr>
        <w:pStyle w:val="11"/>
        <w:spacing w:line="240" w:lineRule="auto"/>
        <w:ind w:firstLine="0" w:firstLineChars="0"/>
        <w:jc w:val="both"/>
        <w:rPr>
          <w:rStyle w:val="19"/>
          <w:sz w:val="21"/>
          <w:szCs w:val="21"/>
          <w:vertAlign w:val="baseline"/>
        </w:rPr>
      </w:pPr>
      <w:r>
        <w:rPr>
          <w:rStyle w:val="19"/>
          <w:rFonts w:hint="eastAsia" w:ascii="仿宋_GB2312"/>
          <w:sz w:val="21"/>
          <w:szCs w:val="21"/>
          <w:vertAlign w:val="baseline"/>
        </w:rPr>
        <w:footnoteRef/>
      </w:r>
      <w:r>
        <w:rPr>
          <w:rStyle w:val="19"/>
          <w:sz w:val="21"/>
          <w:szCs w:val="21"/>
          <w:vertAlign w:val="baseline"/>
        </w:rPr>
        <w:t xml:space="preserve"> </w:t>
      </w:r>
      <w:r>
        <w:rPr>
          <w:rStyle w:val="19"/>
          <w:rFonts w:hint="eastAsia"/>
          <w:sz w:val="21"/>
          <w:szCs w:val="21"/>
          <w:vertAlign w:val="baseline"/>
        </w:rPr>
        <w:t>目标设定和统计口径参考《天津市产业技术研究院认定与考核管理办法》和《天津市人民政府办公厅关于加快产业技术研究院建设发展的若干意见》</w:t>
      </w:r>
    </w:p>
  </w:footnote>
  <w:footnote w:id="1">
    <w:p>
      <w:pPr>
        <w:pStyle w:val="11"/>
        <w:spacing w:line="240" w:lineRule="auto"/>
        <w:ind w:firstLine="0" w:firstLineChars="0"/>
        <w:jc w:val="both"/>
        <w:rPr>
          <w:sz w:val="21"/>
          <w:szCs w:val="21"/>
        </w:rPr>
      </w:pPr>
      <w:r>
        <w:rPr>
          <w:rStyle w:val="19"/>
          <w:sz w:val="21"/>
          <w:szCs w:val="21"/>
          <w:vertAlign w:val="baseline"/>
        </w:rPr>
        <w:footnoteRef/>
      </w:r>
      <w:r>
        <w:rPr>
          <w:rFonts w:hint="eastAsia"/>
          <w:sz w:val="21"/>
          <w:szCs w:val="21"/>
        </w:rPr>
        <w:t xml:space="preserve"> 习近平总书记在</w:t>
      </w:r>
      <w:r>
        <w:rPr>
          <w:sz w:val="21"/>
          <w:szCs w:val="21"/>
        </w:rPr>
        <w:t>中央城市工作会议中提出，</w:t>
      </w:r>
      <w:r>
        <w:rPr>
          <w:rFonts w:hint="eastAsia"/>
          <w:sz w:val="21"/>
          <w:szCs w:val="21"/>
        </w:rPr>
        <w:t>要树立“精明增长”、“紧凑城市”理念，推动城市发展由外延扩张式向内涵提升式转变。精明增长强调对存量空间的改造提升，避免城市无序蔓延、侵占农地，实现经济、社会、环境的协调发展。《中共中央 国务院关于深入推进城市执法体制改革改进城市管理工作的指导意见》明确提出，要引入市场机制，发挥市场作用，吸引社会力量和社会资本参与城市管理。城市经营就是指地方政府把市场经济经营意识、经营机制引入城市建设，促进城市资产优化配置，提升城市价值。</w:t>
      </w:r>
    </w:p>
  </w:footnote>
  <w:footnote w:id="2">
    <w:p>
      <w:pPr>
        <w:pStyle w:val="11"/>
        <w:spacing w:line="240" w:lineRule="auto"/>
        <w:ind w:firstLine="0" w:firstLineChars="0"/>
        <w:jc w:val="both"/>
        <w:rPr>
          <w:rStyle w:val="19"/>
          <w:sz w:val="21"/>
          <w:szCs w:val="21"/>
          <w:vertAlign w:val="baseline"/>
        </w:rPr>
      </w:pPr>
      <w:r>
        <w:rPr>
          <w:rStyle w:val="19"/>
          <w:sz w:val="21"/>
          <w:szCs w:val="21"/>
          <w:vertAlign w:val="baseline"/>
        </w:rPr>
        <w:footnoteRef/>
      </w:r>
      <w:r>
        <w:rPr>
          <w:rStyle w:val="19"/>
          <w:sz w:val="21"/>
          <w:szCs w:val="21"/>
          <w:vertAlign w:val="baseline"/>
        </w:rPr>
        <w:t xml:space="preserve"> </w:t>
      </w:r>
      <w:r>
        <w:rPr>
          <w:rStyle w:val="19"/>
          <w:rFonts w:hint="eastAsia"/>
          <w:sz w:val="21"/>
          <w:szCs w:val="21"/>
          <w:vertAlign w:val="baseline"/>
        </w:rPr>
        <w:t>包括1个千亿级产业集群</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6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footnotePr>
    <w:footnote w:id="6"/>
    <w:footnote w:id="7"/>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8F4"/>
    <w:rsid w:val="000009A0"/>
    <w:rsid w:val="00001E2B"/>
    <w:rsid w:val="00002222"/>
    <w:rsid w:val="000039EA"/>
    <w:rsid w:val="00004498"/>
    <w:rsid w:val="00004743"/>
    <w:rsid w:val="00004BCC"/>
    <w:rsid w:val="00005247"/>
    <w:rsid w:val="0000599C"/>
    <w:rsid w:val="00006A6B"/>
    <w:rsid w:val="00007283"/>
    <w:rsid w:val="000079AF"/>
    <w:rsid w:val="00010018"/>
    <w:rsid w:val="00010410"/>
    <w:rsid w:val="00010D77"/>
    <w:rsid w:val="00010EF8"/>
    <w:rsid w:val="00011213"/>
    <w:rsid w:val="0001257A"/>
    <w:rsid w:val="000129B3"/>
    <w:rsid w:val="00012EB6"/>
    <w:rsid w:val="000135CC"/>
    <w:rsid w:val="0001362B"/>
    <w:rsid w:val="00014EF5"/>
    <w:rsid w:val="00015552"/>
    <w:rsid w:val="00015A5F"/>
    <w:rsid w:val="00015D7E"/>
    <w:rsid w:val="00015F9D"/>
    <w:rsid w:val="00016DD1"/>
    <w:rsid w:val="00017E8A"/>
    <w:rsid w:val="000211BC"/>
    <w:rsid w:val="000218D8"/>
    <w:rsid w:val="00021CF1"/>
    <w:rsid w:val="00022A0B"/>
    <w:rsid w:val="00022D2F"/>
    <w:rsid w:val="000234F8"/>
    <w:rsid w:val="00023F3A"/>
    <w:rsid w:val="00023F9B"/>
    <w:rsid w:val="00024B5D"/>
    <w:rsid w:val="00024F42"/>
    <w:rsid w:val="00026376"/>
    <w:rsid w:val="00026E6B"/>
    <w:rsid w:val="00027492"/>
    <w:rsid w:val="0002760C"/>
    <w:rsid w:val="00027AE6"/>
    <w:rsid w:val="00027DD5"/>
    <w:rsid w:val="00030AF8"/>
    <w:rsid w:val="00031C2F"/>
    <w:rsid w:val="000329AB"/>
    <w:rsid w:val="00032F87"/>
    <w:rsid w:val="00033111"/>
    <w:rsid w:val="0003378C"/>
    <w:rsid w:val="00033797"/>
    <w:rsid w:val="00034BEE"/>
    <w:rsid w:val="00034F2A"/>
    <w:rsid w:val="0003527F"/>
    <w:rsid w:val="00035F39"/>
    <w:rsid w:val="00036DEF"/>
    <w:rsid w:val="00041DFA"/>
    <w:rsid w:val="000444C0"/>
    <w:rsid w:val="00044964"/>
    <w:rsid w:val="00045A1B"/>
    <w:rsid w:val="00046A6D"/>
    <w:rsid w:val="00047FB2"/>
    <w:rsid w:val="0005025B"/>
    <w:rsid w:val="00052C38"/>
    <w:rsid w:val="000535DF"/>
    <w:rsid w:val="000539B5"/>
    <w:rsid w:val="00053A49"/>
    <w:rsid w:val="00053B30"/>
    <w:rsid w:val="000543C6"/>
    <w:rsid w:val="00054C0F"/>
    <w:rsid w:val="000554E5"/>
    <w:rsid w:val="00055C4D"/>
    <w:rsid w:val="00060470"/>
    <w:rsid w:val="00062099"/>
    <w:rsid w:val="00062206"/>
    <w:rsid w:val="00062F3B"/>
    <w:rsid w:val="00062FAD"/>
    <w:rsid w:val="00063551"/>
    <w:rsid w:val="0006359A"/>
    <w:rsid w:val="00063A25"/>
    <w:rsid w:val="000654B2"/>
    <w:rsid w:val="000659E1"/>
    <w:rsid w:val="00065A22"/>
    <w:rsid w:val="000669A0"/>
    <w:rsid w:val="00070022"/>
    <w:rsid w:val="000701A3"/>
    <w:rsid w:val="00070C8E"/>
    <w:rsid w:val="0007195C"/>
    <w:rsid w:val="00071B45"/>
    <w:rsid w:val="00071E9B"/>
    <w:rsid w:val="00072542"/>
    <w:rsid w:val="00073BAB"/>
    <w:rsid w:val="00074F26"/>
    <w:rsid w:val="00074F58"/>
    <w:rsid w:val="00075011"/>
    <w:rsid w:val="00075A8D"/>
    <w:rsid w:val="00080200"/>
    <w:rsid w:val="00080996"/>
    <w:rsid w:val="00081BBF"/>
    <w:rsid w:val="00082557"/>
    <w:rsid w:val="00082568"/>
    <w:rsid w:val="00082DB8"/>
    <w:rsid w:val="0008303A"/>
    <w:rsid w:val="0008377B"/>
    <w:rsid w:val="00083FEF"/>
    <w:rsid w:val="0008403A"/>
    <w:rsid w:val="0008452C"/>
    <w:rsid w:val="0008483B"/>
    <w:rsid w:val="00084985"/>
    <w:rsid w:val="00085547"/>
    <w:rsid w:val="0008632F"/>
    <w:rsid w:val="0008669E"/>
    <w:rsid w:val="000872BD"/>
    <w:rsid w:val="00087B85"/>
    <w:rsid w:val="00090B0A"/>
    <w:rsid w:val="00090B7D"/>
    <w:rsid w:val="000920BD"/>
    <w:rsid w:val="0009217F"/>
    <w:rsid w:val="0009372F"/>
    <w:rsid w:val="00094E86"/>
    <w:rsid w:val="00095DBB"/>
    <w:rsid w:val="00096E25"/>
    <w:rsid w:val="00096F0F"/>
    <w:rsid w:val="000A0D0D"/>
    <w:rsid w:val="000A0D5C"/>
    <w:rsid w:val="000A11A1"/>
    <w:rsid w:val="000A3302"/>
    <w:rsid w:val="000A380E"/>
    <w:rsid w:val="000A39D5"/>
    <w:rsid w:val="000A47D8"/>
    <w:rsid w:val="000A4A2C"/>
    <w:rsid w:val="000A5D13"/>
    <w:rsid w:val="000A72CA"/>
    <w:rsid w:val="000A74B0"/>
    <w:rsid w:val="000A7D02"/>
    <w:rsid w:val="000B1A28"/>
    <w:rsid w:val="000B2A2A"/>
    <w:rsid w:val="000B2B84"/>
    <w:rsid w:val="000B4B74"/>
    <w:rsid w:val="000B612A"/>
    <w:rsid w:val="000B6729"/>
    <w:rsid w:val="000B71E7"/>
    <w:rsid w:val="000B7CFC"/>
    <w:rsid w:val="000C02CC"/>
    <w:rsid w:val="000C038A"/>
    <w:rsid w:val="000C0E50"/>
    <w:rsid w:val="000C40DD"/>
    <w:rsid w:val="000C4302"/>
    <w:rsid w:val="000C66DB"/>
    <w:rsid w:val="000C79F4"/>
    <w:rsid w:val="000D0770"/>
    <w:rsid w:val="000D0F11"/>
    <w:rsid w:val="000D108A"/>
    <w:rsid w:val="000D486B"/>
    <w:rsid w:val="000D4A47"/>
    <w:rsid w:val="000D4D6F"/>
    <w:rsid w:val="000D61AB"/>
    <w:rsid w:val="000D6559"/>
    <w:rsid w:val="000D7569"/>
    <w:rsid w:val="000D7851"/>
    <w:rsid w:val="000E078E"/>
    <w:rsid w:val="000E0EA6"/>
    <w:rsid w:val="000E16E4"/>
    <w:rsid w:val="000E2543"/>
    <w:rsid w:val="000E30B5"/>
    <w:rsid w:val="000E3389"/>
    <w:rsid w:val="000E3C13"/>
    <w:rsid w:val="000E50C3"/>
    <w:rsid w:val="000E5FA2"/>
    <w:rsid w:val="000E6F06"/>
    <w:rsid w:val="000F0889"/>
    <w:rsid w:val="000F14E0"/>
    <w:rsid w:val="000F168D"/>
    <w:rsid w:val="000F1E66"/>
    <w:rsid w:val="000F203B"/>
    <w:rsid w:val="000F2DFD"/>
    <w:rsid w:val="000F3178"/>
    <w:rsid w:val="000F33A9"/>
    <w:rsid w:val="000F4157"/>
    <w:rsid w:val="000F6230"/>
    <w:rsid w:val="000F6C92"/>
    <w:rsid w:val="00100146"/>
    <w:rsid w:val="0010061A"/>
    <w:rsid w:val="00100F4C"/>
    <w:rsid w:val="00101461"/>
    <w:rsid w:val="00102C1D"/>
    <w:rsid w:val="0010382E"/>
    <w:rsid w:val="0010528E"/>
    <w:rsid w:val="00105900"/>
    <w:rsid w:val="00105D1B"/>
    <w:rsid w:val="00106426"/>
    <w:rsid w:val="0010672E"/>
    <w:rsid w:val="0011120A"/>
    <w:rsid w:val="00111944"/>
    <w:rsid w:val="00112C78"/>
    <w:rsid w:val="001132B7"/>
    <w:rsid w:val="00113342"/>
    <w:rsid w:val="00113C22"/>
    <w:rsid w:val="00115ACC"/>
    <w:rsid w:val="00116169"/>
    <w:rsid w:val="0011682D"/>
    <w:rsid w:val="00116B8C"/>
    <w:rsid w:val="00117782"/>
    <w:rsid w:val="00117791"/>
    <w:rsid w:val="00120848"/>
    <w:rsid w:val="00121B48"/>
    <w:rsid w:val="00123AAC"/>
    <w:rsid w:val="00123BB1"/>
    <w:rsid w:val="00124050"/>
    <w:rsid w:val="001246D3"/>
    <w:rsid w:val="00125C8C"/>
    <w:rsid w:val="00126295"/>
    <w:rsid w:val="001268E5"/>
    <w:rsid w:val="0012712E"/>
    <w:rsid w:val="00127340"/>
    <w:rsid w:val="00127451"/>
    <w:rsid w:val="00132126"/>
    <w:rsid w:val="001338B3"/>
    <w:rsid w:val="00133ABF"/>
    <w:rsid w:val="00133E08"/>
    <w:rsid w:val="001346F3"/>
    <w:rsid w:val="001347B9"/>
    <w:rsid w:val="0013535F"/>
    <w:rsid w:val="00135D6C"/>
    <w:rsid w:val="00136619"/>
    <w:rsid w:val="00137ED7"/>
    <w:rsid w:val="0014005D"/>
    <w:rsid w:val="00140343"/>
    <w:rsid w:val="0014073F"/>
    <w:rsid w:val="00141465"/>
    <w:rsid w:val="00141C07"/>
    <w:rsid w:val="00141F2A"/>
    <w:rsid w:val="001422BB"/>
    <w:rsid w:val="00142B6F"/>
    <w:rsid w:val="00143A51"/>
    <w:rsid w:val="00143F63"/>
    <w:rsid w:val="00144962"/>
    <w:rsid w:val="00144DED"/>
    <w:rsid w:val="00145F6A"/>
    <w:rsid w:val="0014694D"/>
    <w:rsid w:val="00146A82"/>
    <w:rsid w:val="00147862"/>
    <w:rsid w:val="00147B8C"/>
    <w:rsid w:val="001504A1"/>
    <w:rsid w:val="001521EA"/>
    <w:rsid w:val="00152E25"/>
    <w:rsid w:val="0015441E"/>
    <w:rsid w:val="001546F7"/>
    <w:rsid w:val="00155E96"/>
    <w:rsid w:val="00155F54"/>
    <w:rsid w:val="00157043"/>
    <w:rsid w:val="00157592"/>
    <w:rsid w:val="00160567"/>
    <w:rsid w:val="00161FD5"/>
    <w:rsid w:val="0016344D"/>
    <w:rsid w:val="0016348E"/>
    <w:rsid w:val="00165223"/>
    <w:rsid w:val="00165933"/>
    <w:rsid w:val="00166B36"/>
    <w:rsid w:val="00166DBB"/>
    <w:rsid w:val="00166E77"/>
    <w:rsid w:val="00167717"/>
    <w:rsid w:val="001708F7"/>
    <w:rsid w:val="00171296"/>
    <w:rsid w:val="001723E7"/>
    <w:rsid w:val="0017307C"/>
    <w:rsid w:val="0017453A"/>
    <w:rsid w:val="00175504"/>
    <w:rsid w:val="00175ABE"/>
    <w:rsid w:val="001765E0"/>
    <w:rsid w:val="001810C2"/>
    <w:rsid w:val="001830BD"/>
    <w:rsid w:val="00183BFF"/>
    <w:rsid w:val="001847FF"/>
    <w:rsid w:val="00184BBE"/>
    <w:rsid w:val="0018718D"/>
    <w:rsid w:val="00191A05"/>
    <w:rsid w:val="00192207"/>
    <w:rsid w:val="00192789"/>
    <w:rsid w:val="0019411D"/>
    <w:rsid w:val="00194445"/>
    <w:rsid w:val="00196321"/>
    <w:rsid w:val="00196807"/>
    <w:rsid w:val="0019695A"/>
    <w:rsid w:val="00196B67"/>
    <w:rsid w:val="0019731F"/>
    <w:rsid w:val="001A00ED"/>
    <w:rsid w:val="001A0286"/>
    <w:rsid w:val="001A1A01"/>
    <w:rsid w:val="001A294F"/>
    <w:rsid w:val="001A3087"/>
    <w:rsid w:val="001A3708"/>
    <w:rsid w:val="001A3B2A"/>
    <w:rsid w:val="001A406C"/>
    <w:rsid w:val="001A4810"/>
    <w:rsid w:val="001A55B7"/>
    <w:rsid w:val="001A5BA9"/>
    <w:rsid w:val="001A62A5"/>
    <w:rsid w:val="001A633E"/>
    <w:rsid w:val="001A70F8"/>
    <w:rsid w:val="001A714D"/>
    <w:rsid w:val="001B01D2"/>
    <w:rsid w:val="001B0287"/>
    <w:rsid w:val="001B0B2E"/>
    <w:rsid w:val="001B2561"/>
    <w:rsid w:val="001B48AA"/>
    <w:rsid w:val="001B6CEA"/>
    <w:rsid w:val="001C1019"/>
    <w:rsid w:val="001C1872"/>
    <w:rsid w:val="001C1EA1"/>
    <w:rsid w:val="001C2B45"/>
    <w:rsid w:val="001C2B9B"/>
    <w:rsid w:val="001C2BB6"/>
    <w:rsid w:val="001C2DC8"/>
    <w:rsid w:val="001C366B"/>
    <w:rsid w:val="001C48F1"/>
    <w:rsid w:val="001C48FE"/>
    <w:rsid w:val="001C4B9C"/>
    <w:rsid w:val="001C589B"/>
    <w:rsid w:val="001C60AC"/>
    <w:rsid w:val="001C69CC"/>
    <w:rsid w:val="001C6FB3"/>
    <w:rsid w:val="001C7741"/>
    <w:rsid w:val="001C7F5A"/>
    <w:rsid w:val="001D0AF5"/>
    <w:rsid w:val="001D1439"/>
    <w:rsid w:val="001D2A1C"/>
    <w:rsid w:val="001D329B"/>
    <w:rsid w:val="001D363C"/>
    <w:rsid w:val="001D459E"/>
    <w:rsid w:val="001D5799"/>
    <w:rsid w:val="001D610E"/>
    <w:rsid w:val="001D69B3"/>
    <w:rsid w:val="001D757C"/>
    <w:rsid w:val="001E07E3"/>
    <w:rsid w:val="001E2F10"/>
    <w:rsid w:val="001E3793"/>
    <w:rsid w:val="001E3A83"/>
    <w:rsid w:val="001E48DA"/>
    <w:rsid w:val="001E51B6"/>
    <w:rsid w:val="001E5ECA"/>
    <w:rsid w:val="001E6A08"/>
    <w:rsid w:val="001E713D"/>
    <w:rsid w:val="001F20D5"/>
    <w:rsid w:val="001F2521"/>
    <w:rsid w:val="001F3460"/>
    <w:rsid w:val="001F373A"/>
    <w:rsid w:val="001F3EAE"/>
    <w:rsid w:val="001F54D4"/>
    <w:rsid w:val="001F58C5"/>
    <w:rsid w:val="001F5A0E"/>
    <w:rsid w:val="001F5F18"/>
    <w:rsid w:val="001F68BD"/>
    <w:rsid w:val="001F6A87"/>
    <w:rsid w:val="001F7EAD"/>
    <w:rsid w:val="001F7EC1"/>
    <w:rsid w:val="002004E4"/>
    <w:rsid w:val="002008E4"/>
    <w:rsid w:val="002009C7"/>
    <w:rsid w:val="00201A42"/>
    <w:rsid w:val="0020245D"/>
    <w:rsid w:val="00204816"/>
    <w:rsid w:val="00204954"/>
    <w:rsid w:val="00205589"/>
    <w:rsid w:val="002060B8"/>
    <w:rsid w:val="00206F09"/>
    <w:rsid w:val="00207637"/>
    <w:rsid w:val="00207B7B"/>
    <w:rsid w:val="0021034A"/>
    <w:rsid w:val="00211CAE"/>
    <w:rsid w:val="00212BEC"/>
    <w:rsid w:val="00212E40"/>
    <w:rsid w:val="002137B3"/>
    <w:rsid w:val="0021642C"/>
    <w:rsid w:val="00216A03"/>
    <w:rsid w:val="00217925"/>
    <w:rsid w:val="00220022"/>
    <w:rsid w:val="0022006E"/>
    <w:rsid w:val="0022180A"/>
    <w:rsid w:val="00221DC6"/>
    <w:rsid w:val="00221F5B"/>
    <w:rsid w:val="0022230C"/>
    <w:rsid w:val="002223A2"/>
    <w:rsid w:val="00223FF4"/>
    <w:rsid w:val="00224C28"/>
    <w:rsid w:val="002264D3"/>
    <w:rsid w:val="002265CD"/>
    <w:rsid w:val="00227495"/>
    <w:rsid w:val="002314F0"/>
    <w:rsid w:val="00231BDA"/>
    <w:rsid w:val="00231E1C"/>
    <w:rsid w:val="0023218F"/>
    <w:rsid w:val="002322ED"/>
    <w:rsid w:val="00232AF6"/>
    <w:rsid w:val="00232B99"/>
    <w:rsid w:val="00233008"/>
    <w:rsid w:val="002332B2"/>
    <w:rsid w:val="0023333B"/>
    <w:rsid w:val="002342E6"/>
    <w:rsid w:val="002346A2"/>
    <w:rsid w:val="00235432"/>
    <w:rsid w:val="00235D05"/>
    <w:rsid w:val="00237E0B"/>
    <w:rsid w:val="00237F2D"/>
    <w:rsid w:val="00240CEF"/>
    <w:rsid w:val="00241954"/>
    <w:rsid w:val="00242039"/>
    <w:rsid w:val="00243AAF"/>
    <w:rsid w:val="00243FEA"/>
    <w:rsid w:val="002465AA"/>
    <w:rsid w:val="002476A4"/>
    <w:rsid w:val="00251672"/>
    <w:rsid w:val="00251DA0"/>
    <w:rsid w:val="00251FD2"/>
    <w:rsid w:val="002523A8"/>
    <w:rsid w:val="00252555"/>
    <w:rsid w:val="002532CD"/>
    <w:rsid w:val="00254D7E"/>
    <w:rsid w:val="00255562"/>
    <w:rsid w:val="002558C5"/>
    <w:rsid w:val="00255F16"/>
    <w:rsid w:val="00257301"/>
    <w:rsid w:val="00257FF9"/>
    <w:rsid w:val="0026015B"/>
    <w:rsid w:val="00260CD4"/>
    <w:rsid w:val="00260D2D"/>
    <w:rsid w:val="00260ED5"/>
    <w:rsid w:val="002611EC"/>
    <w:rsid w:val="00261207"/>
    <w:rsid w:val="00261D7A"/>
    <w:rsid w:val="00261DED"/>
    <w:rsid w:val="00261FDD"/>
    <w:rsid w:val="002625FB"/>
    <w:rsid w:val="0026279B"/>
    <w:rsid w:val="00262ACE"/>
    <w:rsid w:val="00263120"/>
    <w:rsid w:val="0026471E"/>
    <w:rsid w:val="00265263"/>
    <w:rsid w:val="00265316"/>
    <w:rsid w:val="00265692"/>
    <w:rsid w:val="00265C53"/>
    <w:rsid w:val="00265CCB"/>
    <w:rsid w:val="002660FE"/>
    <w:rsid w:val="002670C3"/>
    <w:rsid w:val="00271057"/>
    <w:rsid w:val="00271317"/>
    <w:rsid w:val="00271393"/>
    <w:rsid w:val="0027168B"/>
    <w:rsid w:val="0027268E"/>
    <w:rsid w:val="0027286C"/>
    <w:rsid w:val="00272E03"/>
    <w:rsid w:val="00274538"/>
    <w:rsid w:val="0027499A"/>
    <w:rsid w:val="00275299"/>
    <w:rsid w:val="00275F8B"/>
    <w:rsid w:val="00276BD7"/>
    <w:rsid w:val="00277BC1"/>
    <w:rsid w:val="00280A1C"/>
    <w:rsid w:val="00280BD0"/>
    <w:rsid w:val="00281543"/>
    <w:rsid w:val="00281CFC"/>
    <w:rsid w:val="002847C8"/>
    <w:rsid w:val="00284945"/>
    <w:rsid w:val="00286C23"/>
    <w:rsid w:val="002873BF"/>
    <w:rsid w:val="002878FF"/>
    <w:rsid w:val="0029061D"/>
    <w:rsid w:val="00290D2F"/>
    <w:rsid w:val="0029181C"/>
    <w:rsid w:val="00291C0B"/>
    <w:rsid w:val="00294933"/>
    <w:rsid w:val="002952DB"/>
    <w:rsid w:val="0029591B"/>
    <w:rsid w:val="00295B98"/>
    <w:rsid w:val="00295CBD"/>
    <w:rsid w:val="00295D91"/>
    <w:rsid w:val="002979DD"/>
    <w:rsid w:val="002A03A0"/>
    <w:rsid w:val="002A0B66"/>
    <w:rsid w:val="002A1B53"/>
    <w:rsid w:val="002A2ECC"/>
    <w:rsid w:val="002A3457"/>
    <w:rsid w:val="002A3E47"/>
    <w:rsid w:val="002A427A"/>
    <w:rsid w:val="002A63D7"/>
    <w:rsid w:val="002A75B2"/>
    <w:rsid w:val="002A7FC2"/>
    <w:rsid w:val="002B002D"/>
    <w:rsid w:val="002B0158"/>
    <w:rsid w:val="002B0EA1"/>
    <w:rsid w:val="002B1E44"/>
    <w:rsid w:val="002B2B05"/>
    <w:rsid w:val="002B38EF"/>
    <w:rsid w:val="002B4325"/>
    <w:rsid w:val="002B4A11"/>
    <w:rsid w:val="002B5542"/>
    <w:rsid w:val="002B5BD9"/>
    <w:rsid w:val="002B7B16"/>
    <w:rsid w:val="002C1F25"/>
    <w:rsid w:val="002C274A"/>
    <w:rsid w:val="002C4674"/>
    <w:rsid w:val="002C49B4"/>
    <w:rsid w:val="002C4D0A"/>
    <w:rsid w:val="002C60BA"/>
    <w:rsid w:val="002C63F7"/>
    <w:rsid w:val="002C69C9"/>
    <w:rsid w:val="002C6D57"/>
    <w:rsid w:val="002C7AC3"/>
    <w:rsid w:val="002D0725"/>
    <w:rsid w:val="002D099C"/>
    <w:rsid w:val="002D1391"/>
    <w:rsid w:val="002D22AE"/>
    <w:rsid w:val="002D29C6"/>
    <w:rsid w:val="002D5F03"/>
    <w:rsid w:val="002E0594"/>
    <w:rsid w:val="002E0C1B"/>
    <w:rsid w:val="002E15B6"/>
    <w:rsid w:val="002E1EAB"/>
    <w:rsid w:val="002E3827"/>
    <w:rsid w:val="002E386B"/>
    <w:rsid w:val="002E462C"/>
    <w:rsid w:val="002E516A"/>
    <w:rsid w:val="002E78C3"/>
    <w:rsid w:val="002F0836"/>
    <w:rsid w:val="002F15FD"/>
    <w:rsid w:val="002F43F6"/>
    <w:rsid w:val="002F4620"/>
    <w:rsid w:val="002F4875"/>
    <w:rsid w:val="002F4C8E"/>
    <w:rsid w:val="002F4FA9"/>
    <w:rsid w:val="002F4FBE"/>
    <w:rsid w:val="002F5AE6"/>
    <w:rsid w:val="002F60E8"/>
    <w:rsid w:val="00301A57"/>
    <w:rsid w:val="00302EBF"/>
    <w:rsid w:val="00303267"/>
    <w:rsid w:val="0030483C"/>
    <w:rsid w:val="00306919"/>
    <w:rsid w:val="00307CB8"/>
    <w:rsid w:val="00307F2C"/>
    <w:rsid w:val="00310220"/>
    <w:rsid w:val="003115BA"/>
    <w:rsid w:val="00312743"/>
    <w:rsid w:val="00312791"/>
    <w:rsid w:val="00312E3F"/>
    <w:rsid w:val="0031488F"/>
    <w:rsid w:val="003149B9"/>
    <w:rsid w:val="00314C43"/>
    <w:rsid w:val="00315F95"/>
    <w:rsid w:val="00315F9D"/>
    <w:rsid w:val="00316149"/>
    <w:rsid w:val="003162AC"/>
    <w:rsid w:val="00316573"/>
    <w:rsid w:val="003173FD"/>
    <w:rsid w:val="0031793A"/>
    <w:rsid w:val="00317D0D"/>
    <w:rsid w:val="0032094D"/>
    <w:rsid w:val="00321696"/>
    <w:rsid w:val="0032299B"/>
    <w:rsid w:val="00323FEC"/>
    <w:rsid w:val="0032452C"/>
    <w:rsid w:val="00325348"/>
    <w:rsid w:val="0032748F"/>
    <w:rsid w:val="0032763D"/>
    <w:rsid w:val="003322BC"/>
    <w:rsid w:val="003351BB"/>
    <w:rsid w:val="003352B9"/>
    <w:rsid w:val="00335963"/>
    <w:rsid w:val="00336E3E"/>
    <w:rsid w:val="003376BC"/>
    <w:rsid w:val="00337C3F"/>
    <w:rsid w:val="0034114A"/>
    <w:rsid w:val="00341AFA"/>
    <w:rsid w:val="00341BE8"/>
    <w:rsid w:val="00342349"/>
    <w:rsid w:val="003429C5"/>
    <w:rsid w:val="003445C9"/>
    <w:rsid w:val="0034472D"/>
    <w:rsid w:val="00344B1C"/>
    <w:rsid w:val="00344C82"/>
    <w:rsid w:val="00344EE7"/>
    <w:rsid w:val="0034526A"/>
    <w:rsid w:val="003455EB"/>
    <w:rsid w:val="00345E83"/>
    <w:rsid w:val="00346A59"/>
    <w:rsid w:val="00346CA8"/>
    <w:rsid w:val="00346FCF"/>
    <w:rsid w:val="00347563"/>
    <w:rsid w:val="00350013"/>
    <w:rsid w:val="00350CD6"/>
    <w:rsid w:val="00352E66"/>
    <w:rsid w:val="0035337B"/>
    <w:rsid w:val="003533E3"/>
    <w:rsid w:val="00353C24"/>
    <w:rsid w:val="003540F7"/>
    <w:rsid w:val="00355283"/>
    <w:rsid w:val="00355435"/>
    <w:rsid w:val="0035704E"/>
    <w:rsid w:val="00362BE8"/>
    <w:rsid w:val="00362D5E"/>
    <w:rsid w:val="00363118"/>
    <w:rsid w:val="0036434D"/>
    <w:rsid w:val="00364543"/>
    <w:rsid w:val="003656E7"/>
    <w:rsid w:val="0036714D"/>
    <w:rsid w:val="00367173"/>
    <w:rsid w:val="003701A1"/>
    <w:rsid w:val="003706DB"/>
    <w:rsid w:val="0037088F"/>
    <w:rsid w:val="003715E7"/>
    <w:rsid w:val="00371791"/>
    <w:rsid w:val="00371A55"/>
    <w:rsid w:val="0037220B"/>
    <w:rsid w:val="00374EDD"/>
    <w:rsid w:val="0037599F"/>
    <w:rsid w:val="00375C55"/>
    <w:rsid w:val="00375F4B"/>
    <w:rsid w:val="003761C6"/>
    <w:rsid w:val="003765D3"/>
    <w:rsid w:val="00376675"/>
    <w:rsid w:val="00376792"/>
    <w:rsid w:val="00376B09"/>
    <w:rsid w:val="00377810"/>
    <w:rsid w:val="003779E6"/>
    <w:rsid w:val="00377AE7"/>
    <w:rsid w:val="003802E2"/>
    <w:rsid w:val="00381384"/>
    <w:rsid w:val="00381976"/>
    <w:rsid w:val="0038214E"/>
    <w:rsid w:val="0038317B"/>
    <w:rsid w:val="0038446E"/>
    <w:rsid w:val="0038600C"/>
    <w:rsid w:val="003865A3"/>
    <w:rsid w:val="00387132"/>
    <w:rsid w:val="00387268"/>
    <w:rsid w:val="0038778D"/>
    <w:rsid w:val="00390164"/>
    <w:rsid w:val="0039018C"/>
    <w:rsid w:val="00390530"/>
    <w:rsid w:val="00390C32"/>
    <w:rsid w:val="0039239B"/>
    <w:rsid w:val="00392457"/>
    <w:rsid w:val="00392556"/>
    <w:rsid w:val="00393660"/>
    <w:rsid w:val="003938B1"/>
    <w:rsid w:val="003940A9"/>
    <w:rsid w:val="00394F1C"/>
    <w:rsid w:val="00395624"/>
    <w:rsid w:val="003958ED"/>
    <w:rsid w:val="003959A3"/>
    <w:rsid w:val="00396B37"/>
    <w:rsid w:val="00397281"/>
    <w:rsid w:val="003977E0"/>
    <w:rsid w:val="003A0151"/>
    <w:rsid w:val="003A1769"/>
    <w:rsid w:val="003A2A3A"/>
    <w:rsid w:val="003A36EC"/>
    <w:rsid w:val="003A40A2"/>
    <w:rsid w:val="003A4653"/>
    <w:rsid w:val="003A4849"/>
    <w:rsid w:val="003A5921"/>
    <w:rsid w:val="003A69BD"/>
    <w:rsid w:val="003A72F2"/>
    <w:rsid w:val="003A7623"/>
    <w:rsid w:val="003A7FE9"/>
    <w:rsid w:val="003B0C7E"/>
    <w:rsid w:val="003B1DED"/>
    <w:rsid w:val="003B203A"/>
    <w:rsid w:val="003B26D0"/>
    <w:rsid w:val="003B2C96"/>
    <w:rsid w:val="003B3F38"/>
    <w:rsid w:val="003B4D92"/>
    <w:rsid w:val="003B512B"/>
    <w:rsid w:val="003B5F8C"/>
    <w:rsid w:val="003B6270"/>
    <w:rsid w:val="003B7A81"/>
    <w:rsid w:val="003C1362"/>
    <w:rsid w:val="003C2185"/>
    <w:rsid w:val="003C3601"/>
    <w:rsid w:val="003C5C7C"/>
    <w:rsid w:val="003C6085"/>
    <w:rsid w:val="003C71A4"/>
    <w:rsid w:val="003C74A9"/>
    <w:rsid w:val="003C7D4C"/>
    <w:rsid w:val="003D10FB"/>
    <w:rsid w:val="003D1541"/>
    <w:rsid w:val="003D16E8"/>
    <w:rsid w:val="003D1A7E"/>
    <w:rsid w:val="003D2259"/>
    <w:rsid w:val="003D25EA"/>
    <w:rsid w:val="003D6FE6"/>
    <w:rsid w:val="003D77A0"/>
    <w:rsid w:val="003E064F"/>
    <w:rsid w:val="003E0BF8"/>
    <w:rsid w:val="003E1C4B"/>
    <w:rsid w:val="003E2159"/>
    <w:rsid w:val="003E23E0"/>
    <w:rsid w:val="003E2D79"/>
    <w:rsid w:val="003E3215"/>
    <w:rsid w:val="003E3B70"/>
    <w:rsid w:val="003E3E38"/>
    <w:rsid w:val="003E434B"/>
    <w:rsid w:val="003E50CA"/>
    <w:rsid w:val="003E5930"/>
    <w:rsid w:val="003E7F60"/>
    <w:rsid w:val="003F05A3"/>
    <w:rsid w:val="003F06ED"/>
    <w:rsid w:val="003F0EB6"/>
    <w:rsid w:val="003F181B"/>
    <w:rsid w:val="003F2975"/>
    <w:rsid w:val="003F2E23"/>
    <w:rsid w:val="003F30D0"/>
    <w:rsid w:val="003F3CFA"/>
    <w:rsid w:val="003F5FAA"/>
    <w:rsid w:val="003F6ED7"/>
    <w:rsid w:val="003F7768"/>
    <w:rsid w:val="003F7C01"/>
    <w:rsid w:val="00401DB8"/>
    <w:rsid w:val="00402CC2"/>
    <w:rsid w:val="004047E6"/>
    <w:rsid w:val="00404830"/>
    <w:rsid w:val="00404CB5"/>
    <w:rsid w:val="0040500D"/>
    <w:rsid w:val="00405537"/>
    <w:rsid w:val="004055DD"/>
    <w:rsid w:val="00406743"/>
    <w:rsid w:val="004074B5"/>
    <w:rsid w:val="00411C78"/>
    <w:rsid w:val="00411E0B"/>
    <w:rsid w:val="00412244"/>
    <w:rsid w:val="00412697"/>
    <w:rsid w:val="00412E8C"/>
    <w:rsid w:val="00415361"/>
    <w:rsid w:val="00415C29"/>
    <w:rsid w:val="004164E6"/>
    <w:rsid w:val="004167D7"/>
    <w:rsid w:val="004171E6"/>
    <w:rsid w:val="00417465"/>
    <w:rsid w:val="004177DC"/>
    <w:rsid w:val="00417E8C"/>
    <w:rsid w:val="004206B6"/>
    <w:rsid w:val="00420BAB"/>
    <w:rsid w:val="0042130F"/>
    <w:rsid w:val="004215F9"/>
    <w:rsid w:val="004228D7"/>
    <w:rsid w:val="00423785"/>
    <w:rsid w:val="00423D31"/>
    <w:rsid w:val="00424A60"/>
    <w:rsid w:val="00424B18"/>
    <w:rsid w:val="004256AC"/>
    <w:rsid w:val="00425730"/>
    <w:rsid w:val="0042713B"/>
    <w:rsid w:val="00427736"/>
    <w:rsid w:val="00427EA9"/>
    <w:rsid w:val="00430C5D"/>
    <w:rsid w:val="00430D86"/>
    <w:rsid w:val="0043119E"/>
    <w:rsid w:val="00431CD7"/>
    <w:rsid w:val="0043368B"/>
    <w:rsid w:val="004336E0"/>
    <w:rsid w:val="00433B4F"/>
    <w:rsid w:val="00435B29"/>
    <w:rsid w:val="00436044"/>
    <w:rsid w:val="004362F5"/>
    <w:rsid w:val="00436F94"/>
    <w:rsid w:val="00437BEE"/>
    <w:rsid w:val="00437D46"/>
    <w:rsid w:val="004415AA"/>
    <w:rsid w:val="00441794"/>
    <w:rsid w:val="004425DF"/>
    <w:rsid w:val="0044385D"/>
    <w:rsid w:val="004438DF"/>
    <w:rsid w:val="00443AF4"/>
    <w:rsid w:val="00443E97"/>
    <w:rsid w:val="00443F3A"/>
    <w:rsid w:val="004447FF"/>
    <w:rsid w:val="00444BA1"/>
    <w:rsid w:val="00444CB7"/>
    <w:rsid w:val="00445330"/>
    <w:rsid w:val="004466AD"/>
    <w:rsid w:val="00446ECA"/>
    <w:rsid w:val="00447FFB"/>
    <w:rsid w:val="0045009A"/>
    <w:rsid w:val="0045092C"/>
    <w:rsid w:val="004513B1"/>
    <w:rsid w:val="00451D2D"/>
    <w:rsid w:val="00453C0C"/>
    <w:rsid w:val="00453F40"/>
    <w:rsid w:val="004543E8"/>
    <w:rsid w:val="00454844"/>
    <w:rsid w:val="00454AF8"/>
    <w:rsid w:val="00455CEC"/>
    <w:rsid w:val="00456D33"/>
    <w:rsid w:val="00456D9D"/>
    <w:rsid w:val="00460F8A"/>
    <w:rsid w:val="00461645"/>
    <w:rsid w:val="00463FE7"/>
    <w:rsid w:val="00466320"/>
    <w:rsid w:val="004670F7"/>
    <w:rsid w:val="004679A3"/>
    <w:rsid w:val="0047086D"/>
    <w:rsid w:val="00470DB2"/>
    <w:rsid w:val="00472494"/>
    <w:rsid w:val="00472E31"/>
    <w:rsid w:val="00473443"/>
    <w:rsid w:val="0047371C"/>
    <w:rsid w:val="0047399A"/>
    <w:rsid w:val="0047437E"/>
    <w:rsid w:val="004746F9"/>
    <w:rsid w:val="00475889"/>
    <w:rsid w:val="00475A7B"/>
    <w:rsid w:val="00475BE2"/>
    <w:rsid w:val="00475DE5"/>
    <w:rsid w:val="00480AED"/>
    <w:rsid w:val="00481285"/>
    <w:rsid w:val="0048715B"/>
    <w:rsid w:val="00490331"/>
    <w:rsid w:val="00490680"/>
    <w:rsid w:val="004915A5"/>
    <w:rsid w:val="00491742"/>
    <w:rsid w:val="00492B82"/>
    <w:rsid w:val="00493083"/>
    <w:rsid w:val="004933F5"/>
    <w:rsid w:val="0049419D"/>
    <w:rsid w:val="00494217"/>
    <w:rsid w:val="004958D8"/>
    <w:rsid w:val="004958E7"/>
    <w:rsid w:val="0049591D"/>
    <w:rsid w:val="0049661F"/>
    <w:rsid w:val="004A1132"/>
    <w:rsid w:val="004A3F97"/>
    <w:rsid w:val="004A400C"/>
    <w:rsid w:val="004A4F75"/>
    <w:rsid w:val="004A5771"/>
    <w:rsid w:val="004A7594"/>
    <w:rsid w:val="004A761E"/>
    <w:rsid w:val="004B035A"/>
    <w:rsid w:val="004B1118"/>
    <w:rsid w:val="004B1D00"/>
    <w:rsid w:val="004B20AE"/>
    <w:rsid w:val="004B2DD5"/>
    <w:rsid w:val="004B34BE"/>
    <w:rsid w:val="004B392C"/>
    <w:rsid w:val="004B406F"/>
    <w:rsid w:val="004B4DAF"/>
    <w:rsid w:val="004B512A"/>
    <w:rsid w:val="004B560E"/>
    <w:rsid w:val="004B598F"/>
    <w:rsid w:val="004B5ACC"/>
    <w:rsid w:val="004B5D24"/>
    <w:rsid w:val="004B6C98"/>
    <w:rsid w:val="004B6EC3"/>
    <w:rsid w:val="004C0245"/>
    <w:rsid w:val="004C0355"/>
    <w:rsid w:val="004C0823"/>
    <w:rsid w:val="004C1C05"/>
    <w:rsid w:val="004C1E18"/>
    <w:rsid w:val="004C340F"/>
    <w:rsid w:val="004C62CA"/>
    <w:rsid w:val="004C68E4"/>
    <w:rsid w:val="004D06B3"/>
    <w:rsid w:val="004D0D55"/>
    <w:rsid w:val="004D0F62"/>
    <w:rsid w:val="004D11BA"/>
    <w:rsid w:val="004D276E"/>
    <w:rsid w:val="004D3BE7"/>
    <w:rsid w:val="004D3ED5"/>
    <w:rsid w:val="004D4586"/>
    <w:rsid w:val="004D5842"/>
    <w:rsid w:val="004D6841"/>
    <w:rsid w:val="004D6C23"/>
    <w:rsid w:val="004E036B"/>
    <w:rsid w:val="004E0B59"/>
    <w:rsid w:val="004E0D69"/>
    <w:rsid w:val="004E12E6"/>
    <w:rsid w:val="004E132B"/>
    <w:rsid w:val="004E14EC"/>
    <w:rsid w:val="004E3212"/>
    <w:rsid w:val="004E35E3"/>
    <w:rsid w:val="004E3632"/>
    <w:rsid w:val="004E3D82"/>
    <w:rsid w:val="004E5802"/>
    <w:rsid w:val="004E69EC"/>
    <w:rsid w:val="004E6F25"/>
    <w:rsid w:val="004F05C4"/>
    <w:rsid w:val="004F1C4E"/>
    <w:rsid w:val="004F2328"/>
    <w:rsid w:val="004F28FC"/>
    <w:rsid w:val="004F2C6D"/>
    <w:rsid w:val="004F3278"/>
    <w:rsid w:val="004F4BA5"/>
    <w:rsid w:val="004F5A2C"/>
    <w:rsid w:val="004F6134"/>
    <w:rsid w:val="005001A2"/>
    <w:rsid w:val="005004B5"/>
    <w:rsid w:val="00500AC5"/>
    <w:rsid w:val="00500D93"/>
    <w:rsid w:val="00501713"/>
    <w:rsid w:val="0050233E"/>
    <w:rsid w:val="00502AD6"/>
    <w:rsid w:val="00502CEE"/>
    <w:rsid w:val="00505486"/>
    <w:rsid w:val="005059E7"/>
    <w:rsid w:val="00505D96"/>
    <w:rsid w:val="00506C61"/>
    <w:rsid w:val="005106E5"/>
    <w:rsid w:val="00510F08"/>
    <w:rsid w:val="0051199A"/>
    <w:rsid w:val="00511D07"/>
    <w:rsid w:val="00512E79"/>
    <w:rsid w:val="005134AA"/>
    <w:rsid w:val="00513596"/>
    <w:rsid w:val="00513925"/>
    <w:rsid w:val="005143CF"/>
    <w:rsid w:val="005221DF"/>
    <w:rsid w:val="005225BF"/>
    <w:rsid w:val="00523CF5"/>
    <w:rsid w:val="00524B3D"/>
    <w:rsid w:val="0052530F"/>
    <w:rsid w:val="00525679"/>
    <w:rsid w:val="0052714A"/>
    <w:rsid w:val="0053005B"/>
    <w:rsid w:val="00530177"/>
    <w:rsid w:val="005305D7"/>
    <w:rsid w:val="00530E98"/>
    <w:rsid w:val="005312D6"/>
    <w:rsid w:val="0053253B"/>
    <w:rsid w:val="00532D54"/>
    <w:rsid w:val="00532E01"/>
    <w:rsid w:val="0053324D"/>
    <w:rsid w:val="00533430"/>
    <w:rsid w:val="00533B80"/>
    <w:rsid w:val="00534E3B"/>
    <w:rsid w:val="005351E9"/>
    <w:rsid w:val="0053616A"/>
    <w:rsid w:val="005376D9"/>
    <w:rsid w:val="00537D4C"/>
    <w:rsid w:val="00540289"/>
    <w:rsid w:val="0054068C"/>
    <w:rsid w:val="00540A4D"/>
    <w:rsid w:val="00541171"/>
    <w:rsid w:val="00541890"/>
    <w:rsid w:val="00542185"/>
    <w:rsid w:val="005444B3"/>
    <w:rsid w:val="00545AD7"/>
    <w:rsid w:val="00547539"/>
    <w:rsid w:val="00547F72"/>
    <w:rsid w:val="0055002C"/>
    <w:rsid w:val="00550FAF"/>
    <w:rsid w:val="0055174C"/>
    <w:rsid w:val="00551956"/>
    <w:rsid w:val="0055395A"/>
    <w:rsid w:val="005539B7"/>
    <w:rsid w:val="00554D12"/>
    <w:rsid w:val="00556A4D"/>
    <w:rsid w:val="00556C8C"/>
    <w:rsid w:val="005576FC"/>
    <w:rsid w:val="0056034B"/>
    <w:rsid w:val="00560FCB"/>
    <w:rsid w:val="00561248"/>
    <w:rsid w:val="0056242D"/>
    <w:rsid w:val="00563520"/>
    <w:rsid w:val="00563CCF"/>
    <w:rsid w:val="005658EB"/>
    <w:rsid w:val="0056642C"/>
    <w:rsid w:val="00566499"/>
    <w:rsid w:val="005668F4"/>
    <w:rsid w:val="00567832"/>
    <w:rsid w:val="00567C0A"/>
    <w:rsid w:val="005708B4"/>
    <w:rsid w:val="00571105"/>
    <w:rsid w:val="005713A1"/>
    <w:rsid w:val="00573345"/>
    <w:rsid w:val="0057340C"/>
    <w:rsid w:val="00573904"/>
    <w:rsid w:val="00574956"/>
    <w:rsid w:val="00574B60"/>
    <w:rsid w:val="005758B2"/>
    <w:rsid w:val="00575E3E"/>
    <w:rsid w:val="00577C58"/>
    <w:rsid w:val="005802F6"/>
    <w:rsid w:val="00580A2D"/>
    <w:rsid w:val="00582096"/>
    <w:rsid w:val="0058368E"/>
    <w:rsid w:val="005836E8"/>
    <w:rsid w:val="00584465"/>
    <w:rsid w:val="00584DA2"/>
    <w:rsid w:val="0058509E"/>
    <w:rsid w:val="00585891"/>
    <w:rsid w:val="00585E8C"/>
    <w:rsid w:val="0058695D"/>
    <w:rsid w:val="00586FC8"/>
    <w:rsid w:val="005874A7"/>
    <w:rsid w:val="00587EAC"/>
    <w:rsid w:val="0059085E"/>
    <w:rsid w:val="0059124B"/>
    <w:rsid w:val="00591A46"/>
    <w:rsid w:val="00593430"/>
    <w:rsid w:val="0059390E"/>
    <w:rsid w:val="00593BD1"/>
    <w:rsid w:val="00595F8E"/>
    <w:rsid w:val="005964E2"/>
    <w:rsid w:val="00597348"/>
    <w:rsid w:val="00597A5D"/>
    <w:rsid w:val="00597AAC"/>
    <w:rsid w:val="005A0011"/>
    <w:rsid w:val="005A0A73"/>
    <w:rsid w:val="005A2F11"/>
    <w:rsid w:val="005A5719"/>
    <w:rsid w:val="005A63B7"/>
    <w:rsid w:val="005A6AC0"/>
    <w:rsid w:val="005A6B89"/>
    <w:rsid w:val="005A6D28"/>
    <w:rsid w:val="005A7C0D"/>
    <w:rsid w:val="005B0F9B"/>
    <w:rsid w:val="005B1503"/>
    <w:rsid w:val="005B15B5"/>
    <w:rsid w:val="005B2E21"/>
    <w:rsid w:val="005B367A"/>
    <w:rsid w:val="005B3BB7"/>
    <w:rsid w:val="005B429D"/>
    <w:rsid w:val="005B4E52"/>
    <w:rsid w:val="005B5B87"/>
    <w:rsid w:val="005B6683"/>
    <w:rsid w:val="005B6821"/>
    <w:rsid w:val="005B6842"/>
    <w:rsid w:val="005B6FCB"/>
    <w:rsid w:val="005B74C3"/>
    <w:rsid w:val="005B799B"/>
    <w:rsid w:val="005C0462"/>
    <w:rsid w:val="005C0644"/>
    <w:rsid w:val="005C2288"/>
    <w:rsid w:val="005C23FF"/>
    <w:rsid w:val="005C44B4"/>
    <w:rsid w:val="005C5F01"/>
    <w:rsid w:val="005C71D9"/>
    <w:rsid w:val="005C78D8"/>
    <w:rsid w:val="005C7FFA"/>
    <w:rsid w:val="005D0145"/>
    <w:rsid w:val="005D09EB"/>
    <w:rsid w:val="005D0B41"/>
    <w:rsid w:val="005D1095"/>
    <w:rsid w:val="005D2C0D"/>
    <w:rsid w:val="005D2E0E"/>
    <w:rsid w:val="005D4AFC"/>
    <w:rsid w:val="005D4E3D"/>
    <w:rsid w:val="005D5FD0"/>
    <w:rsid w:val="005D6B38"/>
    <w:rsid w:val="005D7BA5"/>
    <w:rsid w:val="005E303C"/>
    <w:rsid w:val="005E4BEC"/>
    <w:rsid w:val="005E4EED"/>
    <w:rsid w:val="005E5329"/>
    <w:rsid w:val="005E5E61"/>
    <w:rsid w:val="005E6F9C"/>
    <w:rsid w:val="005E743B"/>
    <w:rsid w:val="005E7734"/>
    <w:rsid w:val="005E7A62"/>
    <w:rsid w:val="005F0A8E"/>
    <w:rsid w:val="005F24C5"/>
    <w:rsid w:val="005F2C18"/>
    <w:rsid w:val="005F32E4"/>
    <w:rsid w:val="005F45A4"/>
    <w:rsid w:val="005F54FB"/>
    <w:rsid w:val="005F6CEA"/>
    <w:rsid w:val="005F7809"/>
    <w:rsid w:val="005F7D0F"/>
    <w:rsid w:val="005F7D61"/>
    <w:rsid w:val="005F7FE6"/>
    <w:rsid w:val="00600C83"/>
    <w:rsid w:val="00603A22"/>
    <w:rsid w:val="0060458E"/>
    <w:rsid w:val="00604B22"/>
    <w:rsid w:val="006051FF"/>
    <w:rsid w:val="006054F8"/>
    <w:rsid w:val="00606E6B"/>
    <w:rsid w:val="00607C35"/>
    <w:rsid w:val="00607ED3"/>
    <w:rsid w:val="0061055E"/>
    <w:rsid w:val="00610AF8"/>
    <w:rsid w:val="00611BA8"/>
    <w:rsid w:val="006120C3"/>
    <w:rsid w:val="006126D2"/>
    <w:rsid w:val="00612C84"/>
    <w:rsid w:val="00613722"/>
    <w:rsid w:val="00613D37"/>
    <w:rsid w:val="00613D4A"/>
    <w:rsid w:val="0061653F"/>
    <w:rsid w:val="00617C48"/>
    <w:rsid w:val="00617DFB"/>
    <w:rsid w:val="00620569"/>
    <w:rsid w:val="00620BD1"/>
    <w:rsid w:val="00620EA0"/>
    <w:rsid w:val="006211B6"/>
    <w:rsid w:val="0062125F"/>
    <w:rsid w:val="0062144A"/>
    <w:rsid w:val="006217D3"/>
    <w:rsid w:val="00621AC9"/>
    <w:rsid w:val="0062275D"/>
    <w:rsid w:val="006236CB"/>
    <w:rsid w:val="00624AF6"/>
    <w:rsid w:val="00624F53"/>
    <w:rsid w:val="00626080"/>
    <w:rsid w:val="00626177"/>
    <w:rsid w:val="00627A49"/>
    <w:rsid w:val="00627BD5"/>
    <w:rsid w:val="00631F38"/>
    <w:rsid w:val="00631F98"/>
    <w:rsid w:val="006321BD"/>
    <w:rsid w:val="00632F63"/>
    <w:rsid w:val="0063387B"/>
    <w:rsid w:val="00633D66"/>
    <w:rsid w:val="006342D3"/>
    <w:rsid w:val="00634F34"/>
    <w:rsid w:val="0063536A"/>
    <w:rsid w:val="00635F70"/>
    <w:rsid w:val="006360E8"/>
    <w:rsid w:val="0063625D"/>
    <w:rsid w:val="00636799"/>
    <w:rsid w:val="00637C4D"/>
    <w:rsid w:val="00640E37"/>
    <w:rsid w:val="006412E3"/>
    <w:rsid w:val="006435FE"/>
    <w:rsid w:val="00643927"/>
    <w:rsid w:val="00643DE6"/>
    <w:rsid w:val="00647A14"/>
    <w:rsid w:val="00650D25"/>
    <w:rsid w:val="00651E4C"/>
    <w:rsid w:val="00653D11"/>
    <w:rsid w:val="00653FF9"/>
    <w:rsid w:val="00654B8D"/>
    <w:rsid w:val="006550B4"/>
    <w:rsid w:val="00655209"/>
    <w:rsid w:val="00655698"/>
    <w:rsid w:val="00655B52"/>
    <w:rsid w:val="00655F64"/>
    <w:rsid w:val="00657315"/>
    <w:rsid w:val="00660248"/>
    <w:rsid w:val="00661601"/>
    <w:rsid w:val="00661718"/>
    <w:rsid w:val="00662A5E"/>
    <w:rsid w:val="00663DFF"/>
    <w:rsid w:val="006642BF"/>
    <w:rsid w:val="0066554D"/>
    <w:rsid w:val="0066600D"/>
    <w:rsid w:val="00666262"/>
    <w:rsid w:val="0066626C"/>
    <w:rsid w:val="00671EA3"/>
    <w:rsid w:val="006729AD"/>
    <w:rsid w:val="00672DF4"/>
    <w:rsid w:val="00672DFB"/>
    <w:rsid w:val="00672E54"/>
    <w:rsid w:val="006747B4"/>
    <w:rsid w:val="00674BAE"/>
    <w:rsid w:val="0067506E"/>
    <w:rsid w:val="0067614A"/>
    <w:rsid w:val="006815D7"/>
    <w:rsid w:val="00681F5C"/>
    <w:rsid w:val="0068208A"/>
    <w:rsid w:val="00682A37"/>
    <w:rsid w:val="006836C6"/>
    <w:rsid w:val="00683DBA"/>
    <w:rsid w:val="006861D5"/>
    <w:rsid w:val="00686B1A"/>
    <w:rsid w:val="006870A8"/>
    <w:rsid w:val="006901E6"/>
    <w:rsid w:val="00690966"/>
    <w:rsid w:val="00691180"/>
    <w:rsid w:val="00691AD8"/>
    <w:rsid w:val="006934B3"/>
    <w:rsid w:val="006937CB"/>
    <w:rsid w:val="0069393E"/>
    <w:rsid w:val="006947DF"/>
    <w:rsid w:val="00694F61"/>
    <w:rsid w:val="00695637"/>
    <w:rsid w:val="00695709"/>
    <w:rsid w:val="00695868"/>
    <w:rsid w:val="00695C59"/>
    <w:rsid w:val="0069693B"/>
    <w:rsid w:val="006969A7"/>
    <w:rsid w:val="00697BA3"/>
    <w:rsid w:val="006A0180"/>
    <w:rsid w:val="006A0E01"/>
    <w:rsid w:val="006A1AA4"/>
    <w:rsid w:val="006A1B8C"/>
    <w:rsid w:val="006A3309"/>
    <w:rsid w:val="006A33F0"/>
    <w:rsid w:val="006A38A8"/>
    <w:rsid w:val="006A4420"/>
    <w:rsid w:val="006A480C"/>
    <w:rsid w:val="006A4A23"/>
    <w:rsid w:val="006A4C0A"/>
    <w:rsid w:val="006A6A09"/>
    <w:rsid w:val="006A7DCB"/>
    <w:rsid w:val="006B0AEF"/>
    <w:rsid w:val="006B10CD"/>
    <w:rsid w:val="006B27F3"/>
    <w:rsid w:val="006B3030"/>
    <w:rsid w:val="006B331C"/>
    <w:rsid w:val="006B54B0"/>
    <w:rsid w:val="006B69EF"/>
    <w:rsid w:val="006B7634"/>
    <w:rsid w:val="006B7C43"/>
    <w:rsid w:val="006B7D27"/>
    <w:rsid w:val="006C2A49"/>
    <w:rsid w:val="006C3A94"/>
    <w:rsid w:val="006C4F74"/>
    <w:rsid w:val="006C5140"/>
    <w:rsid w:val="006C60CF"/>
    <w:rsid w:val="006C6CA3"/>
    <w:rsid w:val="006D01D3"/>
    <w:rsid w:val="006D0774"/>
    <w:rsid w:val="006D1044"/>
    <w:rsid w:val="006D206A"/>
    <w:rsid w:val="006D2FCF"/>
    <w:rsid w:val="006D352F"/>
    <w:rsid w:val="006D522A"/>
    <w:rsid w:val="006D6343"/>
    <w:rsid w:val="006D6B57"/>
    <w:rsid w:val="006E0460"/>
    <w:rsid w:val="006E1016"/>
    <w:rsid w:val="006E1921"/>
    <w:rsid w:val="006E3F77"/>
    <w:rsid w:val="006E5310"/>
    <w:rsid w:val="006E5539"/>
    <w:rsid w:val="006E646E"/>
    <w:rsid w:val="006F0741"/>
    <w:rsid w:val="006F1D71"/>
    <w:rsid w:val="006F2F2A"/>
    <w:rsid w:val="006F3183"/>
    <w:rsid w:val="006F35E8"/>
    <w:rsid w:val="006F3F5B"/>
    <w:rsid w:val="006F40ED"/>
    <w:rsid w:val="006F4CAA"/>
    <w:rsid w:val="006F5173"/>
    <w:rsid w:val="006F56AF"/>
    <w:rsid w:val="006F65E7"/>
    <w:rsid w:val="006F6B40"/>
    <w:rsid w:val="006F6BD7"/>
    <w:rsid w:val="006F7472"/>
    <w:rsid w:val="006F7579"/>
    <w:rsid w:val="006F7BDF"/>
    <w:rsid w:val="007000A2"/>
    <w:rsid w:val="007004A1"/>
    <w:rsid w:val="007009FD"/>
    <w:rsid w:val="0070192C"/>
    <w:rsid w:val="0070286A"/>
    <w:rsid w:val="0070349C"/>
    <w:rsid w:val="0070369B"/>
    <w:rsid w:val="0070427B"/>
    <w:rsid w:val="00704EF5"/>
    <w:rsid w:val="00704F09"/>
    <w:rsid w:val="00705861"/>
    <w:rsid w:val="0070602F"/>
    <w:rsid w:val="0070763B"/>
    <w:rsid w:val="00707B49"/>
    <w:rsid w:val="00710D3E"/>
    <w:rsid w:val="00711A2C"/>
    <w:rsid w:val="0071270F"/>
    <w:rsid w:val="00712D11"/>
    <w:rsid w:val="00712D34"/>
    <w:rsid w:val="00714471"/>
    <w:rsid w:val="007144E2"/>
    <w:rsid w:val="00714AAA"/>
    <w:rsid w:val="00714C61"/>
    <w:rsid w:val="00715F19"/>
    <w:rsid w:val="007177A0"/>
    <w:rsid w:val="00717B42"/>
    <w:rsid w:val="00717C26"/>
    <w:rsid w:val="0072001B"/>
    <w:rsid w:val="007207F5"/>
    <w:rsid w:val="007239C3"/>
    <w:rsid w:val="00723ACE"/>
    <w:rsid w:val="0072424C"/>
    <w:rsid w:val="0072475A"/>
    <w:rsid w:val="00724891"/>
    <w:rsid w:val="0072569B"/>
    <w:rsid w:val="00726073"/>
    <w:rsid w:val="00726A27"/>
    <w:rsid w:val="0072711B"/>
    <w:rsid w:val="00727E6E"/>
    <w:rsid w:val="00730624"/>
    <w:rsid w:val="00730949"/>
    <w:rsid w:val="00730C70"/>
    <w:rsid w:val="007313F0"/>
    <w:rsid w:val="00731BC2"/>
    <w:rsid w:val="00731CC2"/>
    <w:rsid w:val="007332DD"/>
    <w:rsid w:val="00733E5C"/>
    <w:rsid w:val="0073415F"/>
    <w:rsid w:val="0073596D"/>
    <w:rsid w:val="00737115"/>
    <w:rsid w:val="007402AD"/>
    <w:rsid w:val="0074078E"/>
    <w:rsid w:val="00741F64"/>
    <w:rsid w:val="0074252C"/>
    <w:rsid w:val="00742D93"/>
    <w:rsid w:val="00742E68"/>
    <w:rsid w:val="007442F5"/>
    <w:rsid w:val="007455D9"/>
    <w:rsid w:val="00745A66"/>
    <w:rsid w:val="00745CDC"/>
    <w:rsid w:val="00745D0D"/>
    <w:rsid w:val="00746264"/>
    <w:rsid w:val="007465B8"/>
    <w:rsid w:val="00747457"/>
    <w:rsid w:val="00747D06"/>
    <w:rsid w:val="00750498"/>
    <w:rsid w:val="00750DAF"/>
    <w:rsid w:val="00750F63"/>
    <w:rsid w:val="007510FD"/>
    <w:rsid w:val="00751A06"/>
    <w:rsid w:val="00753647"/>
    <w:rsid w:val="00753833"/>
    <w:rsid w:val="00753AF6"/>
    <w:rsid w:val="00756237"/>
    <w:rsid w:val="00757889"/>
    <w:rsid w:val="0076035D"/>
    <w:rsid w:val="00760613"/>
    <w:rsid w:val="0076086D"/>
    <w:rsid w:val="0076239F"/>
    <w:rsid w:val="00762CBD"/>
    <w:rsid w:val="00763B0C"/>
    <w:rsid w:val="007649D5"/>
    <w:rsid w:val="007651A0"/>
    <w:rsid w:val="00765605"/>
    <w:rsid w:val="00765D6B"/>
    <w:rsid w:val="00766ACB"/>
    <w:rsid w:val="0076743C"/>
    <w:rsid w:val="00767D59"/>
    <w:rsid w:val="00770BCC"/>
    <w:rsid w:val="00771E9E"/>
    <w:rsid w:val="00772C99"/>
    <w:rsid w:val="00773F0B"/>
    <w:rsid w:val="007745BC"/>
    <w:rsid w:val="00774BCB"/>
    <w:rsid w:val="007762BD"/>
    <w:rsid w:val="00777060"/>
    <w:rsid w:val="007772E4"/>
    <w:rsid w:val="00777F0F"/>
    <w:rsid w:val="007801FF"/>
    <w:rsid w:val="00780578"/>
    <w:rsid w:val="007815C1"/>
    <w:rsid w:val="0078166C"/>
    <w:rsid w:val="00781672"/>
    <w:rsid w:val="007817E6"/>
    <w:rsid w:val="0078486E"/>
    <w:rsid w:val="007850D9"/>
    <w:rsid w:val="0078568D"/>
    <w:rsid w:val="00785D08"/>
    <w:rsid w:val="00786FA8"/>
    <w:rsid w:val="00787F28"/>
    <w:rsid w:val="0079059B"/>
    <w:rsid w:val="00790705"/>
    <w:rsid w:val="0079073C"/>
    <w:rsid w:val="0079099A"/>
    <w:rsid w:val="00793D14"/>
    <w:rsid w:val="00794412"/>
    <w:rsid w:val="00794C52"/>
    <w:rsid w:val="007958A7"/>
    <w:rsid w:val="00795E3E"/>
    <w:rsid w:val="00797068"/>
    <w:rsid w:val="00797F05"/>
    <w:rsid w:val="00797F06"/>
    <w:rsid w:val="007A4CA2"/>
    <w:rsid w:val="007A5FA4"/>
    <w:rsid w:val="007A600F"/>
    <w:rsid w:val="007A605F"/>
    <w:rsid w:val="007A65ED"/>
    <w:rsid w:val="007A6B25"/>
    <w:rsid w:val="007B0A97"/>
    <w:rsid w:val="007B0F26"/>
    <w:rsid w:val="007B1716"/>
    <w:rsid w:val="007B180A"/>
    <w:rsid w:val="007B1AFB"/>
    <w:rsid w:val="007B22E6"/>
    <w:rsid w:val="007B30BF"/>
    <w:rsid w:val="007B34B8"/>
    <w:rsid w:val="007B45E7"/>
    <w:rsid w:val="007B50C0"/>
    <w:rsid w:val="007B5388"/>
    <w:rsid w:val="007B5EE3"/>
    <w:rsid w:val="007B7277"/>
    <w:rsid w:val="007B7779"/>
    <w:rsid w:val="007C02AF"/>
    <w:rsid w:val="007C11AD"/>
    <w:rsid w:val="007C19F4"/>
    <w:rsid w:val="007C2327"/>
    <w:rsid w:val="007C26DF"/>
    <w:rsid w:val="007C450B"/>
    <w:rsid w:val="007C5CEC"/>
    <w:rsid w:val="007C5D27"/>
    <w:rsid w:val="007C6B9D"/>
    <w:rsid w:val="007C7B2B"/>
    <w:rsid w:val="007D1BA9"/>
    <w:rsid w:val="007D1EC5"/>
    <w:rsid w:val="007D4A41"/>
    <w:rsid w:val="007D4F70"/>
    <w:rsid w:val="007D51AE"/>
    <w:rsid w:val="007D5399"/>
    <w:rsid w:val="007D587F"/>
    <w:rsid w:val="007D7078"/>
    <w:rsid w:val="007D70B6"/>
    <w:rsid w:val="007D765F"/>
    <w:rsid w:val="007D781F"/>
    <w:rsid w:val="007E086C"/>
    <w:rsid w:val="007E08CD"/>
    <w:rsid w:val="007E1F80"/>
    <w:rsid w:val="007E26AC"/>
    <w:rsid w:val="007E3ECA"/>
    <w:rsid w:val="007E42FB"/>
    <w:rsid w:val="007E4D33"/>
    <w:rsid w:val="007E5521"/>
    <w:rsid w:val="007E56E7"/>
    <w:rsid w:val="007E5836"/>
    <w:rsid w:val="007F2A12"/>
    <w:rsid w:val="007F2A34"/>
    <w:rsid w:val="007F6D9E"/>
    <w:rsid w:val="007F7197"/>
    <w:rsid w:val="00800742"/>
    <w:rsid w:val="00801471"/>
    <w:rsid w:val="00803623"/>
    <w:rsid w:val="00804004"/>
    <w:rsid w:val="00804426"/>
    <w:rsid w:val="0080488A"/>
    <w:rsid w:val="00805345"/>
    <w:rsid w:val="00806A6D"/>
    <w:rsid w:val="00810C91"/>
    <w:rsid w:val="00810DBE"/>
    <w:rsid w:val="00810E5D"/>
    <w:rsid w:val="00811E36"/>
    <w:rsid w:val="00813DEA"/>
    <w:rsid w:val="008150E8"/>
    <w:rsid w:val="00815581"/>
    <w:rsid w:val="0081602C"/>
    <w:rsid w:val="00816B17"/>
    <w:rsid w:val="00816FA4"/>
    <w:rsid w:val="0082016C"/>
    <w:rsid w:val="008204BD"/>
    <w:rsid w:val="00820622"/>
    <w:rsid w:val="00822D87"/>
    <w:rsid w:val="00822F59"/>
    <w:rsid w:val="00823A82"/>
    <w:rsid w:val="00823C18"/>
    <w:rsid w:val="00824742"/>
    <w:rsid w:val="00824FCC"/>
    <w:rsid w:val="0082559D"/>
    <w:rsid w:val="008308F7"/>
    <w:rsid w:val="00830CA0"/>
    <w:rsid w:val="00830DCE"/>
    <w:rsid w:val="00832677"/>
    <w:rsid w:val="00832E3B"/>
    <w:rsid w:val="00833190"/>
    <w:rsid w:val="0083343E"/>
    <w:rsid w:val="00833C0B"/>
    <w:rsid w:val="00834CB5"/>
    <w:rsid w:val="00834E09"/>
    <w:rsid w:val="00834E5C"/>
    <w:rsid w:val="00835514"/>
    <w:rsid w:val="008360C9"/>
    <w:rsid w:val="00836E8F"/>
    <w:rsid w:val="00837AF2"/>
    <w:rsid w:val="00837F2C"/>
    <w:rsid w:val="00840C23"/>
    <w:rsid w:val="00840E6E"/>
    <w:rsid w:val="00841B42"/>
    <w:rsid w:val="0084224D"/>
    <w:rsid w:val="008428BB"/>
    <w:rsid w:val="00843B52"/>
    <w:rsid w:val="008449F3"/>
    <w:rsid w:val="00846BE6"/>
    <w:rsid w:val="00846EB5"/>
    <w:rsid w:val="00846F5B"/>
    <w:rsid w:val="00847646"/>
    <w:rsid w:val="00851355"/>
    <w:rsid w:val="008515A1"/>
    <w:rsid w:val="00851ABF"/>
    <w:rsid w:val="00852199"/>
    <w:rsid w:val="008521F6"/>
    <w:rsid w:val="0085277A"/>
    <w:rsid w:val="00852EB0"/>
    <w:rsid w:val="008532D2"/>
    <w:rsid w:val="008536FD"/>
    <w:rsid w:val="00853B0A"/>
    <w:rsid w:val="00854618"/>
    <w:rsid w:val="00854E66"/>
    <w:rsid w:val="008551E7"/>
    <w:rsid w:val="008552D9"/>
    <w:rsid w:val="00855E33"/>
    <w:rsid w:val="008560E8"/>
    <w:rsid w:val="008561F9"/>
    <w:rsid w:val="008579D6"/>
    <w:rsid w:val="00862172"/>
    <w:rsid w:val="008623A7"/>
    <w:rsid w:val="00862982"/>
    <w:rsid w:val="00866673"/>
    <w:rsid w:val="008668F5"/>
    <w:rsid w:val="008709D6"/>
    <w:rsid w:val="00870A92"/>
    <w:rsid w:val="00870FD3"/>
    <w:rsid w:val="008713DC"/>
    <w:rsid w:val="008716FC"/>
    <w:rsid w:val="00871A72"/>
    <w:rsid w:val="00871B81"/>
    <w:rsid w:val="00871C2A"/>
    <w:rsid w:val="00873EAE"/>
    <w:rsid w:val="00876FD0"/>
    <w:rsid w:val="00880642"/>
    <w:rsid w:val="00882D01"/>
    <w:rsid w:val="008830BD"/>
    <w:rsid w:val="00883AD3"/>
    <w:rsid w:val="008846F2"/>
    <w:rsid w:val="00885CF9"/>
    <w:rsid w:val="008869DB"/>
    <w:rsid w:val="008877A6"/>
    <w:rsid w:val="008877CE"/>
    <w:rsid w:val="00887D72"/>
    <w:rsid w:val="008902E7"/>
    <w:rsid w:val="00890F74"/>
    <w:rsid w:val="00891195"/>
    <w:rsid w:val="00891CDC"/>
    <w:rsid w:val="008927D9"/>
    <w:rsid w:val="008930FA"/>
    <w:rsid w:val="00893ECD"/>
    <w:rsid w:val="0089419C"/>
    <w:rsid w:val="008951E9"/>
    <w:rsid w:val="0089553B"/>
    <w:rsid w:val="00895D07"/>
    <w:rsid w:val="0089655A"/>
    <w:rsid w:val="00896BA8"/>
    <w:rsid w:val="008973D2"/>
    <w:rsid w:val="008A02DC"/>
    <w:rsid w:val="008A06A9"/>
    <w:rsid w:val="008A0C25"/>
    <w:rsid w:val="008A0D4C"/>
    <w:rsid w:val="008A12A4"/>
    <w:rsid w:val="008A1457"/>
    <w:rsid w:val="008A1EB9"/>
    <w:rsid w:val="008A3054"/>
    <w:rsid w:val="008A3D66"/>
    <w:rsid w:val="008A4207"/>
    <w:rsid w:val="008A42B5"/>
    <w:rsid w:val="008A76D5"/>
    <w:rsid w:val="008A7D96"/>
    <w:rsid w:val="008A7E70"/>
    <w:rsid w:val="008B09F2"/>
    <w:rsid w:val="008B0D0C"/>
    <w:rsid w:val="008B16E4"/>
    <w:rsid w:val="008B17C9"/>
    <w:rsid w:val="008B2FC2"/>
    <w:rsid w:val="008B372F"/>
    <w:rsid w:val="008B38B7"/>
    <w:rsid w:val="008B6253"/>
    <w:rsid w:val="008B742E"/>
    <w:rsid w:val="008B79C7"/>
    <w:rsid w:val="008B7AEA"/>
    <w:rsid w:val="008C1DAA"/>
    <w:rsid w:val="008C2121"/>
    <w:rsid w:val="008C2C4E"/>
    <w:rsid w:val="008C2F53"/>
    <w:rsid w:val="008C42B1"/>
    <w:rsid w:val="008C4B9C"/>
    <w:rsid w:val="008C5DF1"/>
    <w:rsid w:val="008C66D0"/>
    <w:rsid w:val="008C7394"/>
    <w:rsid w:val="008C7AC1"/>
    <w:rsid w:val="008D03FB"/>
    <w:rsid w:val="008D2031"/>
    <w:rsid w:val="008D33BE"/>
    <w:rsid w:val="008D346F"/>
    <w:rsid w:val="008D3C5F"/>
    <w:rsid w:val="008D4367"/>
    <w:rsid w:val="008D4F1C"/>
    <w:rsid w:val="008D5357"/>
    <w:rsid w:val="008D5E33"/>
    <w:rsid w:val="008D6070"/>
    <w:rsid w:val="008D66BF"/>
    <w:rsid w:val="008D7DD7"/>
    <w:rsid w:val="008E1144"/>
    <w:rsid w:val="008E2B6C"/>
    <w:rsid w:val="008E54C4"/>
    <w:rsid w:val="008E6264"/>
    <w:rsid w:val="008E6796"/>
    <w:rsid w:val="008E7011"/>
    <w:rsid w:val="008E7B93"/>
    <w:rsid w:val="008F0EA2"/>
    <w:rsid w:val="008F0F27"/>
    <w:rsid w:val="008F2DD6"/>
    <w:rsid w:val="008F2FE5"/>
    <w:rsid w:val="008F30EF"/>
    <w:rsid w:val="008F3A94"/>
    <w:rsid w:val="008F5964"/>
    <w:rsid w:val="00900588"/>
    <w:rsid w:val="00901184"/>
    <w:rsid w:val="009020E9"/>
    <w:rsid w:val="00902AA7"/>
    <w:rsid w:val="00902B1E"/>
    <w:rsid w:val="00902BB1"/>
    <w:rsid w:val="0090482E"/>
    <w:rsid w:val="00904A7B"/>
    <w:rsid w:val="00905DB8"/>
    <w:rsid w:val="00907570"/>
    <w:rsid w:val="00907635"/>
    <w:rsid w:val="009078C6"/>
    <w:rsid w:val="00910ECC"/>
    <w:rsid w:val="009115F7"/>
    <w:rsid w:val="00911838"/>
    <w:rsid w:val="00912022"/>
    <w:rsid w:val="00912619"/>
    <w:rsid w:val="00912A90"/>
    <w:rsid w:val="009147F9"/>
    <w:rsid w:val="00914CFC"/>
    <w:rsid w:val="009159BB"/>
    <w:rsid w:val="00916A14"/>
    <w:rsid w:val="009171A1"/>
    <w:rsid w:val="00921BC5"/>
    <w:rsid w:val="00924377"/>
    <w:rsid w:val="00924E65"/>
    <w:rsid w:val="00925412"/>
    <w:rsid w:val="00925416"/>
    <w:rsid w:val="009266D6"/>
    <w:rsid w:val="00926A10"/>
    <w:rsid w:val="009279A4"/>
    <w:rsid w:val="00927B68"/>
    <w:rsid w:val="00931316"/>
    <w:rsid w:val="00931EF8"/>
    <w:rsid w:val="0093206A"/>
    <w:rsid w:val="009329C3"/>
    <w:rsid w:val="009337FA"/>
    <w:rsid w:val="00935A8A"/>
    <w:rsid w:val="00936472"/>
    <w:rsid w:val="009364F7"/>
    <w:rsid w:val="009369AC"/>
    <w:rsid w:val="00936FB7"/>
    <w:rsid w:val="009376B1"/>
    <w:rsid w:val="0094024B"/>
    <w:rsid w:val="009408B9"/>
    <w:rsid w:val="00940A8D"/>
    <w:rsid w:val="00940A9D"/>
    <w:rsid w:val="00940FA8"/>
    <w:rsid w:val="009411FA"/>
    <w:rsid w:val="00942348"/>
    <w:rsid w:val="009430E7"/>
    <w:rsid w:val="00943717"/>
    <w:rsid w:val="00943AFC"/>
    <w:rsid w:val="0094407A"/>
    <w:rsid w:val="009454E7"/>
    <w:rsid w:val="00945C1E"/>
    <w:rsid w:val="009461E1"/>
    <w:rsid w:val="009465F4"/>
    <w:rsid w:val="0094720D"/>
    <w:rsid w:val="00947B64"/>
    <w:rsid w:val="009503FE"/>
    <w:rsid w:val="00950BD4"/>
    <w:rsid w:val="009516CA"/>
    <w:rsid w:val="009524C1"/>
    <w:rsid w:val="00953369"/>
    <w:rsid w:val="0095423B"/>
    <w:rsid w:val="009543A7"/>
    <w:rsid w:val="00954F5C"/>
    <w:rsid w:val="00955A47"/>
    <w:rsid w:val="00955A6C"/>
    <w:rsid w:val="009563A8"/>
    <w:rsid w:val="00956B12"/>
    <w:rsid w:val="00957127"/>
    <w:rsid w:val="0095717D"/>
    <w:rsid w:val="0096052F"/>
    <w:rsid w:val="00961844"/>
    <w:rsid w:val="009618E4"/>
    <w:rsid w:val="00963D41"/>
    <w:rsid w:val="00964B1C"/>
    <w:rsid w:val="00966D75"/>
    <w:rsid w:val="00966EE9"/>
    <w:rsid w:val="00966F0E"/>
    <w:rsid w:val="0096730E"/>
    <w:rsid w:val="009703CC"/>
    <w:rsid w:val="00970F0E"/>
    <w:rsid w:val="00971C9C"/>
    <w:rsid w:val="009732D6"/>
    <w:rsid w:val="00975358"/>
    <w:rsid w:val="00975DA6"/>
    <w:rsid w:val="009764D2"/>
    <w:rsid w:val="009779D5"/>
    <w:rsid w:val="00977D49"/>
    <w:rsid w:val="00980C83"/>
    <w:rsid w:val="00980FEB"/>
    <w:rsid w:val="0098126B"/>
    <w:rsid w:val="00981C01"/>
    <w:rsid w:val="00981F70"/>
    <w:rsid w:val="009828A2"/>
    <w:rsid w:val="00984051"/>
    <w:rsid w:val="00984F70"/>
    <w:rsid w:val="00985FAD"/>
    <w:rsid w:val="00986AE5"/>
    <w:rsid w:val="009917B2"/>
    <w:rsid w:val="00991AA1"/>
    <w:rsid w:val="00992575"/>
    <w:rsid w:val="0099303F"/>
    <w:rsid w:val="009930D1"/>
    <w:rsid w:val="009933F3"/>
    <w:rsid w:val="009948A7"/>
    <w:rsid w:val="00996050"/>
    <w:rsid w:val="00997543"/>
    <w:rsid w:val="009A1968"/>
    <w:rsid w:val="009A4053"/>
    <w:rsid w:val="009A48CA"/>
    <w:rsid w:val="009A5022"/>
    <w:rsid w:val="009A5E90"/>
    <w:rsid w:val="009A61AC"/>
    <w:rsid w:val="009A6275"/>
    <w:rsid w:val="009A79B2"/>
    <w:rsid w:val="009B07E6"/>
    <w:rsid w:val="009B14F0"/>
    <w:rsid w:val="009B1C98"/>
    <w:rsid w:val="009B224B"/>
    <w:rsid w:val="009B2D44"/>
    <w:rsid w:val="009B36BF"/>
    <w:rsid w:val="009B4367"/>
    <w:rsid w:val="009B4B0D"/>
    <w:rsid w:val="009B5CA0"/>
    <w:rsid w:val="009B651B"/>
    <w:rsid w:val="009B6CED"/>
    <w:rsid w:val="009B70B7"/>
    <w:rsid w:val="009B724D"/>
    <w:rsid w:val="009C13F4"/>
    <w:rsid w:val="009C296E"/>
    <w:rsid w:val="009C2CAE"/>
    <w:rsid w:val="009C48DC"/>
    <w:rsid w:val="009C5A86"/>
    <w:rsid w:val="009C6A18"/>
    <w:rsid w:val="009C74A3"/>
    <w:rsid w:val="009C7795"/>
    <w:rsid w:val="009C7A63"/>
    <w:rsid w:val="009C7AAE"/>
    <w:rsid w:val="009D156D"/>
    <w:rsid w:val="009D2B5D"/>
    <w:rsid w:val="009D2EC1"/>
    <w:rsid w:val="009D3510"/>
    <w:rsid w:val="009D47AF"/>
    <w:rsid w:val="009D55E0"/>
    <w:rsid w:val="009D609B"/>
    <w:rsid w:val="009D6497"/>
    <w:rsid w:val="009D68AE"/>
    <w:rsid w:val="009D6B6F"/>
    <w:rsid w:val="009D729E"/>
    <w:rsid w:val="009D7666"/>
    <w:rsid w:val="009E08CF"/>
    <w:rsid w:val="009E1A92"/>
    <w:rsid w:val="009E230F"/>
    <w:rsid w:val="009E2CDB"/>
    <w:rsid w:val="009E513A"/>
    <w:rsid w:val="009E5674"/>
    <w:rsid w:val="009E5CF9"/>
    <w:rsid w:val="009E5D92"/>
    <w:rsid w:val="009E600C"/>
    <w:rsid w:val="009E6FF4"/>
    <w:rsid w:val="009F040A"/>
    <w:rsid w:val="009F099C"/>
    <w:rsid w:val="009F2578"/>
    <w:rsid w:val="009F2F65"/>
    <w:rsid w:val="009F30BB"/>
    <w:rsid w:val="009F4DAC"/>
    <w:rsid w:val="009F4F9A"/>
    <w:rsid w:val="009F5912"/>
    <w:rsid w:val="009F5BC0"/>
    <w:rsid w:val="00A002F0"/>
    <w:rsid w:val="00A0085F"/>
    <w:rsid w:val="00A00EBB"/>
    <w:rsid w:val="00A0131E"/>
    <w:rsid w:val="00A01EC5"/>
    <w:rsid w:val="00A041A8"/>
    <w:rsid w:val="00A04597"/>
    <w:rsid w:val="00A05C9A"/>
    <w:rsid w:val="00A11FC7"/>
    <w:rsid w:val="00A122FA"/>
    <w:rsid w:val="00A130B8"/>
    <w:rsid w:val="00A1510F"/>
    <w:rsid w:val="00A1594D"/>
    <w:rsid w:val="00A15D51"/>
    <w:rsid w:val="00A171B4"/>
    <w:rsid w:val="00A204C9"/>
    <w:rsid w:val="00A20BD5"/>
    <w:rsid w:val="00A211C2"/>
    <w:rsid w:val="00A22D09"/>
    <w:rsid w:val="00A22D67"/>
    <w:rsid w:val="00A23161"/>
    <w:rsid w:val="00A23287"/>
    <w:rsid w:val="00A232F2"/>
    <w:rsid w:val="00A237EB"/>
    <w:rsid w:val="00A23AA7"/>
    <w:rsid w:val="00A252B1"/>
    <w:rsid w:val="00A261A9"/>
    <w:rsid w:val="00A27C7D"/>
    <w:rsid w:val="00A27CE5"/>
    <w:rsid w:val="00A30A96"/>
    <w:rsid w:val="00A31715"/>
    <w:rsid w:val="00A32AE4"/>
    <w:rsid w:val="00A346BD"/>
    <w:rsid w:val="00A35D6D"/>
    <w:rsid w:val="00A3654C"/>
    <w:rsid w:val="00A37CEF"/>
    <w:rsid w:val="00A40A44"/>
    <w:rsid w:val="00A40ACE"/>
    <w:rsid w:val="00A410D4"/>
    <w:rsid w:val="00A41837"/>
    <w:rsid w:val="00A42451"/>
    <w:rsid w:val="00A42626"/>
    <w:rsid w:val="00A42B9E"/>
    <w:rsid w:val="00A42D31"/>
    <w:rsid w:val="00A438A6"/>
    <w:rsid w:val="00A4567B"/>
    <w:rsid w:val="00A45F80"/>
    <w:rsid w:val="00A4656F"/>
    <w:rsid w:val="00A46C60"/>
    <w:rsid w:val="00A4723F"/>
    <w:rsid w:val="00A473FB"/>
    <w:rsid w:val="00A475D3"/>
    <w:rsid w:val="00A47718"/>
    <w:rsid w:val="00A478B6"/>
    <w:rsid w:val="00A507E9"/>
    <w:rsid w:val="00A50CD1"/>
    <w:rsid w:val="00A5415F"/>
    <w:rsid w:val="00A544A7"/>
    <w:rsid w:val="00A56E65"/>
    <w:rsid w:val="00A60778"/>
    <w:rsid w:val="00A6149D"/>
    <w:rsid w:val="00A61610"/>
    <w:rsid w:val="00A61764"/>
    <w:rsid w:val="00A6321F"/>
    <w:rsid w:val="00A6349F"/>
    <w:rsid w:val="00A6404C"/>
    <w:rsid w:val="00A64BE9"/>
    <w:rsid w:val="00A65BC7"/>
    <w:rsid w:val="00A66466"/>
    <w:rsid w:val="00A66974"/>
    <w:rsid w:val="00A66D56"/>
    <w:rsid w:val="00A67589"/>
    <w:rsid w:val="00A7092F"/>
    <w:rsid w:val="00A70F5C"/>
    <w:rsid w:val="00A70FD5"/>
    <w:rsid w:val="00A712A0"/>
    <w:rsid w:val="00A7240E"/>
    <w:rsid w:val="00A73008"/>
    <w:rsid w:val="00A73ECB"/>
    <w:rsid w:val="00A751B2"/>
    <w:rsid w:val="00A75B9E"/>
    <w:rsid w:val="00A75C5E"/>
    <w:rsid w:val="00A76B83"/>
    <w:rsid w:val="00A779E1"/>
    <w:rsid w:val="00A77CF7"/>
    <w:rsid w:val="00A8127D"/>
    <w:rsid w:val="00A83C74"/>
    <w:rsid w:val="00A83EC6"/>
    <w:rsid w:val="00A84913"/>
    <w:rsid w:val="00A855C1"/>
    <w:rsid w:val="00A876A5"/>
    <w:rsid w:val="00A916D8"/>
    <w:rsid w:val="00A91837"/>
    <w:rsid w:val="00A921C1"/>
    <w:rsid w:val="00A93583"/>
    <w:rsid w:val="00A93843"/>
    <w:rsid w:val="00A93CBC"/>
    <w:rsid w:val="00A94EEB"/>
    <w:rsid w:val="00A967C3"/>
    <w:rsid w:val="00A96F73"/>
    <w:rsid w:val="00AA137B"/>
    <w:rsid w:val="00AA1705"/>
    <w:rsid w:val="00AA1C45"/>
    <w:rsid w:val="00AA22D1"/>
    <w:rsid w:val="00AA3131"/>
    <w:rsid w:val="00AA33AB"/>
    <w:rsid w:val="00AA4B14"/>
    <w:rsid w:val="00AA4EC4"/>
    <w:rsid w:val="00AA56D7"/>
    <w:rsid w:val="00AA5C4D"/>
    <w:rsid w:val="00AA5EDC"/>
    <w:rsid w:val="00AA6250"/>
    <w:rsid w:val="00AA752D"/>
    <w:rsid w:val="00AA78CA"/>
    <w:rsid w:val="00AB06DA"/>
    <w:rsid w:val="00AB0DB3"/>
    <w:rsid w:val="00AB13EC"/>
    <w:rsid w:val="00AB1531"/>
    <w:rsid w:val="00AB20DC"/>
    <w:rsid w:val="00AB2999"/>
    <w:rsid w:val="00AB2E78"/>
    <w:rsid w:val="00AB3107"/>
    <w:rsid w:val="00AB3540"/>
    <w:rsid w:val="00AB431D"/>
    <w:rsid w:val="00AB60CC"/>
    <w:rsid w:val="00AB63E3"/>
    <w:rsid w:val="00AB6926"/>
    <w:rsid w:val="00AB6CFB"/>
    <w:rsid w:val="00AC0F89"/>
    <w:rsid w:val="00AC1E3B"/>
    <w:rsid w:val="00AC2637"/>
    <w:rsid w:val="00AC28CC"/>
    <w:rsid w:val="00AC2E0A"/>
    <w:rsid w:val="00AC36B8"/>
    <w:rsid w:val="00AC449B"/>
    <w:rsid w:val="00AC55B7"/>
    <w:rsid w:val="00AC5910"/>
    <w:rsid w:val="00AC5A0A"/>
    <w:rsid w:val="00AC5BFC"/>
    <w:rsid w:val="00AC6BD5"/>
    <w:rsid w:val="00AC749E"/>
    <w:rsid w:val="00AC7585"/>
    <w:rsid w:val="00AD026A"/>
    <w:rsid w:val="00AD2039"/>
    <w:rsid w:val="00AD2F54"/>
    <w:rsid w:val="00AD32E0"/>
    <w:rsid w:val="00AD33DC"/>
    <w:rsid w:val="00AD36BE"/>
    <w:rsid w:val="00AD6311"/>
    <w:rsid w:val="00AD6A53"/>
    <w:rsid w:val="00AD6D8E"/>
    <w:rsid w:val="00AD707D"/>
    <w:rsid w:val="00AD7D66"/>
    <w:rsid w:val="00AE0009"/>
    <w:rsid w:val="00AE0563"/>
    <w:rsid w:val="00AE116A"/>
    <w:rsid w:val="00AE1ED5"/>
    <w:rsid w:val="00AE22A8"/>
    <w:rsid w:val="00AE2C81"/>
    <w:rsid w:val="00AE3860"/>
    <w:rsid w:val="00AE5592"/>
    <w:rsid w:val="00AE6DEF"/>
    <w:rsid w:val="00AE6E57"/>
    <w:rsid w:val="00AE7AB7"/>
    <w:rsid w:val="00AF0D9B"/>
    <w:rsid w:val="00AF36CB"/>
    <w:rsid w:val="00AF46BF"/>
    <w:rsid w:val="00AF4A18"/>
    <w:rsid w:val="00AF4FBE"/>
    <w:rsid w:val="00AF5369"/>
    <w:rsid w:val="00AF7631"/>
    <w:rsid w:val="00AF7E3A"/>
    <w:rsid w:val="00AF7FB1"/>
    <w:rsid w:val="00B006A0"/>
    <w:rsid w:val="00B00CCF"/>
    <w:rsid w:val="00B00E52"/>
    <w:rsid w:val="00B01BA9"/>
    <w:rsid w:val="00B01E17"/>
    <w:rsid w:val="00B02E3B"/>
    <w:rsid w:val="00B0332A"/>
    <w:rsid w:val="00B03A1A"/>
    <w:rsid w:val="00B04037"/>
    <w:rsid w:val="00B04BDB"/>
    <w:rsid w:val="00B10AAE"/>
    <w:rsid w:val="00B12D78"/>
    <w:rsid w:val="00B14378"/>
    <w:rsid w:val="00B1449B"/>
    <w:rsid w:val="00B1514C"/>
    <w:rsid w:val="00B16366"/>
    <w:rsid w:val="00B165E1"/>
    <w:rsid w:val="00B16A15"/>
    <w:rsid w:val="00B17193"/>
    <w:rsid w:val="00B204A5"/>
    <w:rsid w:val="00B20A49"/>
    <w:rsid w:val="00B22088"/>
    <w:rsid w:val="00B2341B"/>
    <w:rsid w:val="00B23768"/>
    <w:rsid w:val="00B23A34"/>
    <w:rsid w:val="00B2642B"/>
    <w:rsid w:val="00B26F09"/>
    <w:rsid w:val="00B270CD"/>
    <w:rsid w:val="00B27CFC"/>
    <w:rsid w:val="00B30B3A"/>
    <w:rsid w:val="00B30E86"/>
    <w:rsid w:val="00B31B3F"/>
    <w:rsid w:val="00B31C9D"/>
    <w:rsid w:val="00B321DA"/>
    <w:rsid w:val="00B326DF"/>
    <w:rsid w:val="00B336A1"/>
    <w:rsid w:val="00B339D6"/>
    <w:rsid w:val="00B33D64"/>
    <w:rsid w:val="00B33DE5"/>
    <w:rsid w:val="00B364F3"/>
    <w:rsid w:val="00B366A3"/>
    <w:rsid w:val="00B3698C"/>
    <w:rsid w:val="00B36AD0"/>
    <w:rsid w:val="00B3720F"/>
    <w:rsid w:val="00B401F8"/>
    <w:rsid w:val="00B40B3E"/>
    <w:rsid w:val="00B41395"/>
    <w:rsid w:val="00B42901"/>
    <w:rsid w:val="00B4347A"/>
    <w:rsid w:val="00B4755F"/>
    <w:rsid w:val="00B514F8"/>
    <w:rsid w:val="00B520AF"/>
    <w:rsid w:val="00B53848"/>
    <w:rsid w:val="00B53A65"/>
    <w:rsid w:val="00B5544E"/>
    <w:rsid w:val="00B56519"/>
    <w:rsid w:val="00B5794C"/>
    <w:rsid w:val="00B61D04"/>
    <w:rsid w:val="00B6297F"/>
    <w:rsid w:val="00B62A8B"/>
    <w:rsid w:val="00B633E6"/>
    <w:rsid w:val="00B64B0C"/>
    <w:rsid w:val="00B65C2F"/>
    <w:rsid w:val="00B67A2B"/>
    <w:rsid w:val="00B67F2F"/>
    <w:rsid w:val="00B700EA"/>
    <w:rsid w:val="00B70B46"/>
    <w:rsid w:val="00B71257"/>
    <w:rsid w:val="00B713B2"/>
    <w:rsid w:val="00B71455"/>
    <w:rsid w:val="00B72423"/>
    <w:rsid w:val="00B73DC6"/>
    <w:rsid w:val="00B74B90"/>
    <w:rsid w:val="00B75687"/>
    <w:rsid w:val="00B76265"/>
    <w:rsid w:val="00B76CEF"/>
    <w:rsid w:val="00B772B7"/>
    <w:rsid w:val="00B777C7"/>
    <w:rsid w:val="00B80331"/>
    <w:rsid w:val="00B806F9"/>
    <w:rsid w:val="00B8114A"/>
    <w:rsid w:val="00B8163A"/>
    <w:rsid w:val="00B82FA8"/>
    <w:rsid w:val="00B83A70"/>
    <w:rsid w:val="00B84181"/>
    <w:rsid w:val="00B844F0"/>
    <w:rsid w:val="00B8494B"/>
    <w:rsid w:val="00B8553B"/>
    <w:rsid w:val="00B86621"/>
    <w:rsid w:val="00B86637"/>
    <w:rsid w:val="00B8677E"/>
    <w:rsid w:val="00B8717D"/>
    <w:rsid w:val="00B90164"/>
    <w:rsid w:val="00B90EE2"/>
    <w:rsid w:val="00B917BD"/>
    <w:rsid w:val="00B92DF8"/>
    <w:rsid w:val="00B951DC"/>
    <w:rsid w:val="00B95892"/>
    <w:rsid w:val="00B95B61"/>
    <w:rsid w:val="00B96116"/>
    <w:rsid w:val="00B97019"/>
    <w:rsid w:val="00BA0336"/>
    <w:rsid w:val="00BA035B"/>
    <w:rsid w:val="00BA0529"/>
    <w:rsid w:val="00BA0567"/>
    <w:rsid w:val="00BA19D9"/>
    <w:rsid w:val="00BA1A84"/>
    <w:rsid w:val="00BA233D"/>
    <w:rsid w:val="00BA36C6"/>
    <w:rsid w:val="00BA4562"/>
    <w:rsid w:val="00BA480F"/>
    <w:rsid w:val="00BA50F9"/>
    <w:rsid w:val="00BA52DB"/>
    <w:rsid w:val="00BA5B78"/>
    <w:rsid w:val="00BA5EA3"/>
    <w:rsid w:val="00BA6252"/>
    <w:rsid w:val="00BA6B56"/>
    <w:rsid w:val="00BA7D94"/>
    <w:rsid w:val="00BB002C"/>
    <w:rsid w:val="00BB04AD"/>
    <w:rsid w:val="00BB1FE6"/>
    <w:rsid w:val="00BB2186"/>
    <w:rsid w:val="00BB3027"/>
    <w:rsid w:val="00BB491F"/>
    <w:rsid w:val="00BB51B7"/>
    <w:rsid w:val="00BB56BA"/>
    <w:rsid w:val="00BB5EE1"/>
    <w:rsid w:val="00BB6155"/>
    <w:rsid w:val="00BB6CC6"/>
    <w:rsid w:val="00BB6D69"/>
    <w:rsid w:val="00BB7952"/>
    <w:rsid w:val="00BB7C8E"/>
    <w:rsid w:val="00BC1D05"/>
    <w:rsid w:val="00BC1D64"/>
    <w:rsid w:val="00BC2146"/>
    <w:rsid w:val="00BC25A9"/>
    <w:rsid w:val="00BC2792"/>
    <w:rsid w:val="00BC419D"/>
    <w:rsid w:val="00BC4D61"/>
    <w:rsid w:val="00BC564F"/>
    <w:rsid w:val="00BC692B"/>
    <w:rsid w:val="00BC6B00"/>
    <w:rsid w:val="00BC7698"/>
    <w:rsid w:val="00BD030D"/>
    <w:rsid w:val="00BD0B41"/>
    <w:rsid w:val="00BD22F2"/>
    <w:rsid w:val="00BD2DD9"/>
    <w:rsid w:val="00BD2EE0"/>
    <w:rsid w:val="00BD41AF"/>
    <w:rsid w:val="00BD6E6E"/>
    <w:rsid w:val="00BD6FC0"/>
    <w:rsid w:val="00BD70C9"/>
    <w:rsid w:val="00BD7E57"/>
    <w:rsid w:val="00BE02C3"/>
    <w:rsid w:val="00BE1D0E"/>
    <w:rsid w:val="00BE24C5"/>
    <w:rsid w:val="00BE78FD"/>
    <w:rsid w:val="00BE7A6B"/>
    <w:rsid w:val="00BF27DF"/>
    <w:rsid w:val="00BF2A83"/>
    <w:rsid w:val="00BF3492"/>
    <w:rsid w:val="00BF34C6"/>
    <w:rsid w:val="00BF3583"/>
    <w:rsid w:val="00BF449C"/>
    <w:rsid w:val="00BF4D50"/>
    <w:rsid w:val="00BF5D97"/>
    <w:rsid w:val="00BF5DCD"/>
    <w:rsid w:val="00BF6BDC"/>
    <w:rsid w:val="00BF7D38"/>
    <w:rsid w:val="00C007EB"/>
    <w:rsid w:val="00C01732"/>
    <w:rsid w:val="00C0182C"/>
    <w:rsid w:val="00C01840"/>
    <w:rsid w:val="00C02141"/>
    <w:rsid w:val="00C0228E"/>
    <w:rsid w:val="00C026C6"/>
    <w:rsid w:val="00C02775"/>
    <w:rsid w:val="00C0348E"/>
    <w:rsid w:val="00C0698A"/>
    <w:rsid w:val="00C06B5A"/>
    <w:rsid w:val="00C06CCA"/>
    <w:rsid w:val="00C07FB9"/>
    <w:rsid w:val="00C100E2"/>
    <w:rsid w:val="00C1041E"/>
    <w:rsid w:val="00C10995"/>
    <w:rsid w:val="00C10BCB"/>
    <w:rsid w:val="00C10F20"/>
    <w:rsid w:val="00C11130"/>
    <w:rsid w:val="00C1146B"/>
    <w:rsid w:val="00C122DD"/>
    <w:rsid w:val="00C159B2"/>
    <w:rsid w:val="00C15ED1"/>
    <w:rsid w:val="00C16E0A"/>
    <w:rsid w:val="00C16E9E"/>
    <w:rsid w:val="00C179DF"/>
    <w:rsid w:val="00C17B9D"/>
    <w:rsid w:val="00C17BF8"/>
    <w:rsid w:val="00C20413"/>
    <w:rsid w:val="00C204D9"/>
    <w:rsid w:val="00C214C3"/>
    <w:rsid w:val="00C2173A"/>
    <w:rsid w:val="00C2230E"/>
    <w:rsid w:val="00C23E6A"/>
    <w:rsid w:val="00C27E8F"/>
    <w:rsid w:val="00C31042"/>
    <w:rsid w:val="00C31325"/>
    <w:rsid w:val="00C325F7"/>
    <w:rsid w:val="00C336A5"/>
    <w:rsid w:val="00C34A9E"/>
    <w:rsid w:val="00C34B6B"/>
    <w:rsid w:val="00C35472"/>
    <w:rsid w:val="00C35651"/>
    <w:rsid w:val="00C3586F"/>
    <w:rsid w:val="00C36C74"/>
    <w:rsid w:val="00C37A3A"/>
    <w:rsid w:val="00C40636"/>
    <w:rsid w:val="00C409C0"/>
    <w:rsid w:val="00C41E76"/>
    <w:rsid w:val="00C42309"/>
    <w:rsid w:val="00C439A3"/>
    <w:rsid w:val="00C449D4"/>
    <w:rsid w:val="00C4731E"/>
    <w:rsid w:val="00C47920"/>
    <w:rsid w:val="00C503FB"/>
    <w:rsid w:val="00C51254"/>
    <w:rsid w:val="00C5254D"/>
    <w:rsid w:val="00C5261A"/>
    <w:rsid w:val="00C526B1"/>
    <w:rsid w:val="00C5313E"/>
    <w:rsid w:val="00C53B05"/>
    <w:rsid w:val="00C5573E"/>
    <w:rsid w:val="00C55B97"/>
    <w:rsid w:val="00C561A3"/>
    <w:rsid w:val="00C5735E"/>
    <w:rsid w:val="00C57721"/>
    <w:rsid w:val="00C60081"/>
    <w:rsid w:val="00C6090B"/>
    <w:rsid w:val="00C61763"/>
    <w:rsid w:val="00C622B1"/>
    <w:rsid w:val="00C62860"/>
    <w:rsid w:val="00C62A7E"/>
    <w:rsid w:val="00C62CAD"/>
    <w:rsid w:val="00C63A7B"/>
    <w:rsid w:val="00C66611"/>
    <w:rsid w:val="00C67BFF"/>
    <w:rsid w:val="00C70406"/>
    <w:rsid w:val="00C70515"/>
    <w:rsid w:val="00C709E1"/>
    <w:rsid w:val="00C70DA4"/>
    <w:rsid w:val="00C711A1"/>
    <w:rsid w:val="00C7282C"/>
    <w:rsid w:val="00C73932"/>
    <w:rsid w:val="00C73A85"/>
    <w:rsid w:val="00C73B2C"/>
    <w:rsid w:val="00C73F59"/>
    <w:rsid w:val="00C74171"/>
    <w:rsid w:val="00C754E5"/>
    <w:rsid w:val="00C755D2"/>
    <w:rsid w:val="00C75962"/>
    <w:rsid w:val="00C77B6F"/>
    <w:rsid w:val="00C80DB6"/>
    <w:rsid w:val="00C8129D"/>
    <w:rsid w:val="00C83539"/>
    <w:rsid w:val="00C84458"/>
    <w:rsid w:val="00C84831"/>
    <w:rsid w:val="00C85558"/>
    <w:rsid w:val="00C862CD"/>
    <w:rsid w:val="00C86E67"/>
    <w:rsid w:val="00C86E7D"/>
    <w:rsid w:val="00C87001"/>
    <w:rsid w:val="00C870A0"/>
    <w:rsid w:val="00C87BAA"/>
    <w:rsid w:val="00C90544"/>
    <w:rsid w:val="00C94E09"/>
    <w:rsid w:val="00C95171"/>
    <w:rsid w:val="00C96B6F"/>
    <w:rsid w:val="00CA0B8A"/>
    <w:rsid w:val="00CA196B"/>
    <w:rsid w:val="00CA1F00"/>
    <w:rsid w:val="00CA2AAA"/>
    <w:rsid w:val="00CA6379"/>
    <w:rsid w:val="00CA6552"/>
    <w:rsid w:val="00CA6699"/>
    <w:rsid w:val="00CA7651"/>
    <w:rsid w:val="00CB0850"/>
    <w:rsid w:val="00CB0B95"/>
    <w:rsid w:val="00CB15D0"/>
    <w:rsid w:val="00CB15E2"/>
    <w:rsid w:val="00CB211B"/>
    <w:rsid w:val="00CB2753"/>
    <w:rsid w:val="00CB3BC6"/>
    <w:rsid w:val="00CB40E1"/>
    <w:rsid w:val="00CB5828"/>
    <w:rsid w:val="00CB7A06"/>
    <w:rsid w:val="00CC0DA3"/>
    <w:rsid w:val="00CC1EFA"/>
    <w:rsid w:val="00CC2275"/>
    <w:rsid w:val="00CC47B3"/>
    <w:rsid w:val="00CC4E98"/>
    <w:rsid w:val="00CC53D0"/>
    <w:rsid w:val="00CC5D5D"/>
    <w:rsid w:val="00CC6E9D"/>
    <w:rsid w:val="00CD025B"/>
    <w:rsid w:val="00CD2E16"/>
    <w:rsid w:val="00CD396E"/>
    <w:rsid w:val="00CD4411"/>
    <w:rsid w:val="00CD626E"/>
    <w:rsid w:val="00CD6D71"/>
    <w:rsid w:val="00CD733D"/>
    <w:rsid w:val="00CD76EB"/>
    <w:rsid w:val="00CE0307"/>
    <w:rsid w:val="00CE16D0"/>
    <w:rsid w:val="00CE1D62"/>
    <w:rsid w:val="00CE2128"/>
    <w:rsid w:val="00CE2605"/>
    <w:rsid w:val="00CE2E42"/>
    <w:rsid w:val="00CE4255"/>
    <w:rsid w:val="00CE6F60"/>
    <w:rsid w:val="00CE7A7D"/>
    <w:rsid w:val="00CF3258"/>
    <w:rsid w:val="00CF3C71"/>
    <w:rsid w:val="00CF464A"/>
    <w:rsid w:val="00CF4C3E"/>
    <w:rsid w:val="00CF5272"/>
    <w:rsid w:val="00CF62E7"/>
    <w:rsid w:val="00CF66B9"/>
    <w:rsid w:val="00CF68EE"/>
    <w:rsid w:val="00CF723E"/>
    <w:rsid w:val="00CF7442"/>
    <w:rsid w:val="00D003A1"/>
    <w:rsid w:val="00D00905"/>
    <w:rsid w:val="00D021D3"/>
    <w:rsid w:val="00D023CD"/>
    <w:rsid w:val="00D0242E"/>
    <w:rsid w:val="00D0396E"/>
    <w:rsid w:val="00D03B98"/>
    <w:rsid w:val="00D03EF3"/>
    <w:rsid w:val="00D0448A"/>
    <w:rsid w:val="00D04C87"/>
    <w:rsid w:val="00D04CA3"/>
    <w:rsid w:val="00D04FB5"/>
    <w:rsid w:val="00D062B4"/>
    <w:rsid w:val="00D071C8"/>
    <w:rsid w:val="00D0778F"/>
    <w:rsid w:val="00D10071"/>
    <w:rsid w:val="00D10718"/>
    <w:rsid w:val="00D10995"/>
    <w:rsid w:val="00D10D41"/>
    <w:rsid w:val="00D1340A"/>
    <w:rsid w:val="00D13417"/>
    <w:rsid w:val="00D136D6"/>
    <w:rsid w:val="00D14076"/>
    <w:rsid w:val="00D14341"/>
    <w:rsid w:val="00D1508A"/>
    <w:rsid w:val="00D150CC"/>
    <w:rsid w:val="00D163C5"/>
    <w:rsid w:val="00D164B7"/>
    <w:rsid w:val="00D1673C"/>
    <w:rsid w:val="00D174A2"/>
    <w:rsid w:val="00D20400"/>
    <w:rsid w:val="00D2068C"/>
    <w:rsid w:val="00D21482"/>
    <w:rsid w:val="00D21ADE"/>
    <w:rsid w:val="00D2228B"/>
    <w:rsid w:val="00D22A53"/>
    <w:rsid w:val="00D24C23"/>
    <w:rsid w:val="00D2545F"/>
    <w:rsid w:val="00D25DB0"/>
    <w:rsid w:val="00D2625D"/>
    <w:rsid w:val="00D2687B"/>
    <w:rsid w:val="00D26FD6"/>
    <w:rsid w:val="00D27155"/>
    <w:rsid w:val="00D27186"/>
    <w:rsid w:val="00D272C0"/>
    <w:rsid w:val="00D27B71"/>
    <w:rsid w:val="00D30568"/>
    <w:rsid w:val="00D306CB"/>
    <w:rsid w:val="00D31752"/>
    <w:rsid w:val="00D31863"/>
    <w:rsid w:val="00D31957"/>
    <w:rsid w:val="00D321C1"/>
    <w:rsid w:val="00D3234E"/>
    <w:rsid w:val="00D331BE"/>
    <w:rsid w:val="00D3346D"/>
    <w:rsid w:val="00D33D1C"/>
    <w:rsid w:val="00D34809"/>
    <w:rsid w:val="00D3496C"/>
    <w:rsid w:val="00D34BC0"/>
    <w:rsid w:val="00D357FC"/>
    <w:rsid w:val="00D35C35"/>
    <w:rsid w:val="00D35D73"/>
    <w:rsid w:val="00D366C2"/>
    <w:rsid w:val="00D37CEE"/>
    <w:rsid w:val="00D418CB"/>
    <w:rsid w:val="00D45A46"/>
    <w:rsid w:val="00D45FE5"/>
    <w:rsid w:val="00D46015"/>
    <w:rsid w:val="00D460C0"/>
    <w:rsid w:val="00D46C55"/>
    <w:rsid w:val="00D50A09"/>
    <w:rsid w:val="00D51444"/>
    <w:rsid w:val="00D524EA"/>
    <w:rsid w:val="00D52C56"/>
    <w:rsid w:val="00D52E35"/>
    <w:rsid w:val="00D53761"/>
    <w:rsid w:val="00D543D3"/>
    <w:rsid w:val="00D5590F"/>
    <w:rsid w:val="00D55F2C"/>
    <w:rsid w:val="00D568FE"/>
    <w:rsid w:val="00D605A9"/>
    <w:rsid w:val="00D6122D"/>
    <w:rsid w:val="00D61297"/>
    <w:rsid w:val="00D6170D"/>
    <w:rsid w:val="00D64476"/>
    <w:rsid w:val="00D65876"/>
    <w:rsid w:val="00D65C9B"/>
    <w:rsid w:val="00D66071"/>
    <w:rsid w:val="00D7006C"/>
    <w:rsid w:val="00D7033A"/>
    <w:rsid w:val="00D70AF5"/>
    <w:rsid w:val="00D7247B"/>
    <w:rsid w:val="00D72A8A"/>
    <w:rsid w:val="00D72B79"/>
    <w:rsid w:val="00D74B4E"/>
    <w:rsid w:val="00D75A60"/>
    <w:rsid w:val="00D76074"/>
    <w:rsid w:val="00D765F9"/>
    <w:rsid w:val="00D7665B"/>
    <w:rsid w:val="00D769CE"/>
    <w:rsid w:val="00D76BB1"/>
    <w:rsid w:val="00D77721"/>
    <w:rsid w:val="00D80D6A"/>
    <w:rsid w:val="00D816AA"/>
    <w:rsid w:val="00D8321E"/>
    <w:rsid w:val="00D858A4"/>
    <w:rsid w:val="00D85D04"/>
    <w:rsid w:val="00D867D4"/>
    <w:rsid w:val="00D87719"/>
    <w:rsid w:val="00D9082F"/>
    <w:rsid w:val="00D90E14"/>
    <w:rsid w:val="00D918DD"/>
    <w:rsid w:val="00D92AC3"/>
    <w:rsid w:val="00D93684"/>
    <w:rsid w:val="00D93B5E"/>
    <w:rsid w:val="00D94AAB"/>
    <w:rsid w:val="00D96817"/>
    <w:rsid w:val="00D96ECA"/>
    <w:rsid w:val="00D97C42"/>
    <w:rsid w:val="00DA221B"/>
    <w:rsid w:val="00DA2791"/>
    <w:rsid w:val="00DA2B58"/>
    <w:rsid w:val="00DA2F89"/>
    <w:rsid w:val="00DA3135"/>
    <w:rsid w:val="00DA3995"/>
    <w:rsid w:val="00DA3F97"/>
    <w:rsid w:val="00DA4A45"/>
    <w:rsid w:val="00DA4C07"/>
    <w:rsid w:val="00DA4FE8"/>
    <w:rsid w:val="00DA52C4"/>
    <w:rsid w:val="00DA5A0A"/>
    <w:rsid w:val="00DA5A18"/>
    <w:rsid w:val="00DA6039"/>
    <w:rsid w:val="00DB18AA"/>
    <w:rsid w:val="00DB1FA1"/>
    <w:rsid w:val="00DB2009"/>
    <w:rsid w:val="00DB2A96"/>
    <w:rsid w:val="00DB3DAC"/>
    <w:rsid w:val="00DB4934"/>
    <w:rsid w:val="00DB5381"/>
    <w:rsid w:val="00DB5942"/>
    <w:rsid w:val="00DB6814"/>
    <w:rsid w:val="00DB6FA8"/>
    <w:rsid w:val="00DB7A22"/>
    <w:rsid w:val="00DB7E37"/>
    <w:rsid w:val="00DC1CFA"/>
    <w:rsid w:val="00DC4174"/>
    <w:rsid w:val="00DC4950"/>
    <w:rsid w:val="00DC5DB0"/>
    <w:rsid w:val="00DC72B9"/>
    <w:rsid w:val="00DC73ED"/>
    <w:rsid w:val="00DC7897"/>
    <w:rsid w:val="00DC7C61"/>
    <w:rsid w:val="00DC7F0B"/>
    <w:rsid w:val="00DD3C85"/>
    <w:rsid w:val="00DD3D3E"/>
    <w:rsid w:val="00DD3F4E"/>
    <w:rsid w:val="00DD4086"/>
    <w:rsid w:val="00DD40A1"/>
    <w:rsid w:val="00DD41AA"/>
    <w:rsid w:val="00DD458F"/>
    <w:rsid w:val="00DD4643"/>
    <w:rsid w:val="00DD497A"/>
    <w:rsid w:val="00DD5C99"/>
    <w:rsid w:val="00DD644F"/>
    <w:rsid w:val="00DD655B"/>
    <w:rsid w:val="00DD729D"/>
    <w:rsid w:val="00DD7847"/>
    <w:rsid w:val="00DE2181"/>
    <w:rsid w:val="00DE2273"/>
    <w:rsid w:val="00DE3317"/>
    <w:rsid w:val="00DE3BB0"/>
    <w:rsid w:val="00DE5194"/>
    <w:rsid w:val="00DE5D22"/>
    <w:rsid w:val="00DE64A2"/>
    <w:rsid w:val="00DF192B"/>
    <w:rsid w:val="00DF270E"/>
    <w:rsid w:val="00DF4629"/>
    <w:rsid w:val="00DF47BE"/>
    <w:rsid w:val="00DF5E0B"/>
    <w:rsid w:val="00DF6125"/>
    <w:rsid w:val="00DF70F5"/>
    <w:rsid w:val="00DF7D11"/>
    <w:rsid w:val="00E0235A"/>
    <w:rsid w:val="00E02E1D"/>
    <w:rsid w:val="00E0330A"/>
    <w:rsid w:val="00E0381A"/>
    <w:rsid w:val="00E03972"/>
    <w:rsid w:val="00E03AE2"/>
    <w:rsid w:val="00E056C4"/>
    <w:rsid w:val="00E05CAB"/>
    <w:rsid w:val="00E05E77"/>
    <w:rsid w:val="00E06EDD"/>
    <w:rsid w:val="00E107AD"/>
    <w:rsid w:val="00E10E06"/>
    <w:rsid w:val="00E1192F"/>
    <w:rsid w:val="00E11A4F"/>
    <w:rsid w:val="00E11F7D"/>
    <w:rsid w:val="00E1395C"/>
    <w:rsid w:val="00E1567C"/>
    <w:rsid w:val="00E15922"/>
    <w:rsid w:val="00E15DE9"/>
    <w:rsid w:val="00E165A4"/>
    <w:rsid w:val="00E169F6"/>
    <w:rsid w:val="00E16DD0"/>
    <w:rsid w:val="00E20065"/>
    <w:rsid w:val="00E210AD"/>
    <w:rsid w:val="00E2256A"/>
    <w:rsid w:val="00E23068"/>
    <w:rsid w:val="00E233D3"/>
    <w:rsid w:val="00E23673"/>
    <w:rsid w:val="00E23B52"/>
    <w:rsid w:val="00E24054"/>
    <w:rsid w:val="00E24085"/>
    <w:rsid w:val="00E25436"/>
    <w:rsid w:val="00E2587D"/>
    <w:rsid w:val="00E25E2D"/>
    <w:rsid w:val="00E26020"/>
    <w:rsid w:val="00E268AB"/>
    <w:rsid w:val="00E316C4"/>
    <w:rsid w:val="00E3171D"/>
    <w:rsid w:val="00E327FE"/>
    <w:rsid w:val="00E338E9"/>
    <w:rsid w:val="00E340EF"/>
    <w:rsid w:val="00E34521"/>
    <w:rsid w:val="00E34A0F"/>
    <w:rsid w:val="00E35B75"/>
    <w:rsid w:val="00E35E1D"/>
    <w:rsid w:val="00E36C6C"/>
    <w:rsid w:val="00E403D6"/>
    <w:rsid w:val="00E41357"/>
    <w:rsid w:val="00E41942"/>
    <w:rsid w:val="00E42093"/>
    <w:rsid w:val="00E428E9"/>
    <w:rsid w:val="00E42CF8"/>
    <w:rsid w:val="00E42D8F"/>
    <w:rsid w:val="00E43B96"/>
    <w:rsid w:val="00E43EF0"/>
    <w:rsid w:val="00E44649"/>
    <w:rsid w:val="00E45574"/>
    <w:rsid w:val="00E4560E"/>
    <w:rsid w:val="00E45855"/>
    <w:rsid w:val="00E45BF5"/>
    <w:rsid w:val="00E45CAE"/>
    <w:rsid w:val="00E45FCB"/>
    <w:rsid w:val="00E4681F"/>
    <w:rsid w:val="00E46AFD"/>
    <w:rsid w:val="00E46CF5"/>
    <w:rsid w:val="00E47268"/>
    <w:rsid w:val="00E476FE"/>
    <w:rsid w:val="00E5094D"/>
    <w:rsid w:val="00E5101F"/>
    <w:rsid w:val="00E522CD"/>
    <w:rsid w:val="00E52638"/>
    <w:rsid w:val="00E5359D"/>
    <w:rsid w:val="00E57D22"/>
    <w:rsid w:val="00E6174D"/>
    <w:rsid w:val="00E62872"/>
    <w:rsid w:val="00E62A12"/>
    <w:rsid w:val="00E63A28"/>
    <w:rsid w:val="00E65C52"/>
    <w:rsid w:val="00E66CD3"/>
    <w:rsid w:val="00E700FF"/>
    <w:rsid w:val="00E71013"/>
    <w:rsid w:val="00E71129"/>
    <w:rsid w:val="00E71BEB"/>
    <w:rsid w:val="00E71FDC"/>
    <w:rsid w:val="00E74363"/>
    <w:rsid w:val="00E75276"/>
    <w:rsid w:val="00E752C8"/>
    <w:rsid w:val="00E76A34"/>
    <w:rsid w:val="00E80683"/>
    <w:rsid w:val="00E81899"/>
    <w:rsid w:val="00E8236A"/>
    <w:rsid w:val="00E824E7"/>
    <w:rsid w:val="00E829E9"/>
    <w:rsid w:val="00E839E3"/>
    <w:rsid w:val="00E83A51"/>
    <w:rsid w:val="00E83EB7"/>
    <w:rsid w:val="00E85166"/>
    <w:rsid w:val="00E86B11"/>
    <w:rsid w:val="00E87191"/>
    <w:rsid w:val="00E87218"/>
    <w:rsid w:val="00E878F4"/>
    <w:rsid w:val="00E900E3"/>
    <w:rsid w:val="00E913BA"/>
    <w:rsid w:val="00E929C8"/>
    <w:rsid w:val="00E92B3D"/>
    <w:rsid w:val="00E92E54"/>
    <w:rsid w:val="00E93DCC"/>
    <w:rsid w:val="00E94035"/>
    <w:rsid w:val="00E96ADE"/>
    <w:rsid w:val="00E96DF2"/>
    <w:rsid w:val="00E9710A"/>
    <w:rsid w:val="00E9749B"/>
    <w:rsid w:val="00EA0733"/>
    <w:rsid w:val="00EA1030"/>
    <w:rsid w:val="00EA10E5"/>
    <w:rsid w:val="00EA1409"/>
    <w:rsid w:val="00EA18E6"/>
    <w:rsid w:val="00EA2E48"/>
    <w:rsid w:val="00EA35D7"/>
    <w:rsid w:val="00EA3683"/>
    <w:rsid w:val="00EA41B8"/>
    <w:rsid w:val="00EA4979"/>
    <w:rsid w:val="00EA50C1"/>
    <w:rsid w:val="00EA5823"/>
    <w:rsid w:val="00EA5B56"/>
    <w:rsid w:val="00EA68E4"/>
    <w:rsid w:val="00EA7067"/>
    <w:rsid w:val="00EA7677"/>
    <w:rsid w:val="00EA7B08"/>
    <w:rsid w:val="00EB0109"/>
    <w:rsid w:val="00EB162F"/>
    <w:rsid w:val="00EB1A9C"/>
    <w:rsid w:val="00EB205F"/>
    <w:rsid w:val="00EB289F"/>
    <w:rsid w:val="00EB3068"/>
    <w:rsid w:val="00EB3341"/>
    <w:rsid w:val="00EB3EFF"/>
    <w:rsid w:val="00EB52F0"/>
    <w:rsid w:val="00EB576F"/>
    <w:rsid w:val="00EB59B2"/>
    <w:rsid w:val="00EB6B9F"/>
    <w:rsid w:val="00EB7941"/>
    <w:rsid w:val="00EC0597"/>
    <w:rsid w:val="00EC2789"/>
    <w:rsid w:val="00EC40BA"/>
    <w:rsid w:val="00EC55A5"/>
    <w:rsid w:val="00EC55F6"/>
    <w:rsid w:val="00EC5A33"/>
    <w:rsid w:val="00EC7EE9"/>
    <w:rsid w:val="00EC7FAE"/>
    <w:rsid w:val="00ED072D"/>
    <w:rsid w:val="00ED1A69"/>
    <w:rsid w:val="00ED2306"/>
    <w:rsid w:val="00ED28E3"/>
    <w:rsid w:val="00ED303D"/>
    <w:rsid w:val="00ED3233"/>
    <w:rsid w:val="00ED32CB"/>
    <w:rsid w:val="00ED4653"/>
    <w:rsid w:val="00ED53C1"/>
    <w:rsid w:val="00ED573D"/>
    <w:rsid w:val="00ED5BDC"/>
    <w:rsid w:val="00ED6BDB"/>
    <w:rsid w:val="00ED778D"/>
    <w:rsid w:val="00ED7E06"/>
    <w:rsid w:val="00EE1B54"/>
    <w:rsid w:val="00EE22A5"/>
    <w:rsid w:val="00EE2687"/>
    <w:rsid w:val="00EE2F13"/>
    <w:rsid w:val="00EE45F0"/>
    <w:rsid w:val="00EE511C"/>
    <w:rsid w:val="00EE517D"/>
    <w:rsid w:val="00EF31A6"/>
    <w:rsid w:val="00EF3382"/>
    <w:rsid w:val="00EF3A93"/>
    <w:rsid w:val="00EF443D"/>
    <w:rsid w:val="00EF491F"/>
    <w:rsid w:val="00EF4CD4"/>
    <w:rsid w:val="00EF6568"/>
    <w:rsid w:val="00F008DF"/>
    <w:rsid w:val="00F008F4"/>
    <w:rsid w:val="00F00E6C"/>
    <w:rsid w:val="00F0104E"/>
    <w:rsid w:val="00F0146D"/>
    <w:rsid w:val="00F016CC"/>
    <w:rsid w:val="00F01F6C"/>
    <w:rsid w:val="00F02A13"/>
    <w:rsid w:val="00F037A3"/>
    <w:rsid w:val="00F054F9"/>
    <w:rsid w:val="00F059C8"/>
    <w:rsid w:val="00F05DB3"/>
    <w:rsid w:val="00F065A1"/>
    <w:rsid w:val="00F06B5D"/>
    <w:rsid w:val="00F06DA2"/>
    <w:rsid w:val="00F06DE3"/>
    <w:rsid w:val="00F06E71"/>
    <w:rsid w:val="00F0782C"/>
    <w:rsid w:val="00F07DEE"/>
    <w:rsid w:val="00F11227"/>
    <w:rsid w:val="00F1298D"/>
    <w:rsid w:val="00F12EAA"/>
    <w:rsid w:val="00F13583"/>
    <w:rsid w:val="00F1504C"/>
    <w:rsid w:val="00F15502"/>
    <w:rsid w:val="00F1677C"/>
    <w:rsid w:val="00F16A06"/>
    <w:rsid w:val="00F22C11"/>
    <w:rsid w:val="00F240F5"/>
    <w:rsid w:val="00F25F29"/>
    <w:rsid w:val="00F26649"/>
    <w:rsid w:val="00F30BBE"/>
    <w:rsid w:val="00F31BE2"/>
    <w:rsid w:val="00F32412"/>
    <w:rsid w:val="00F3307D"/>
    <w:rsid w:val="00F334C7"/>
    <w:rsid w:val="00F369F9"/>
    <w:rsid w:val="00F37A40"/>
    <w:rsid w:val="00F44E66"/>
    <w:rsid w:val="00F44EF6"/>
    <w:rsid w:val="00F45F2E"/>
    <w:rsid w:val="00F46209"/>
    <w:rsid w:val="00F46676"/>
    <w:rsid w:val="00F46D1B"/>
    <w:rsid w:val="00F4726D"/>
    <w:rsid w:val="00F50979"/>
    <w:rsid w:val="00F50F8C"/>
    <w:rsid w:val="00F518A0"/>
    <w:rsid w:val="00F52368"/>
    <w:rsid w:val="00F54AED"/>
    <w:rsid w:val="00F54CD1"/>
    <w:rsid w:val="00F54FD5"/>
    <w:rsid w:val="00F5529E"/>
    <w:rsid w:val="00F552D3"/>
    <w:rsid w:val="00F55A62"/>
    <w:rsid w:val="00F56975"/>
    <w:rsid w:val="00F57958"/>
    <w:rsid w:val="00F57FFB"/>
    <w:rsid w:val="00F62893"/>
    <w:rsid w:val="00F62B59"/>
    <w:rsid w:val="00F63B9E"/>
    <w:rsid w:val="00F63DC3"/>
    <w:rsid w:val="00F651D0"/>
    <w:rsid w:val="00F65A9A"/>
    <w:rsid w:val="00F65B71"/>
    <w:rsid w:val="00F6666C"/>
    <w:rsid w:val="00F7172A"/>
    <w:rsid w:val="00F72058"/>
    <w:rsid w:val="00F72C48"/>
    <w:rsid w:val="00F730D6"/>
    <w:rsid w:val="00F730DE"/>
    <w:rsid w:val="00F730EF"/>
    <w:rsid w:val="00F73B68"/>
    <w:rsid w:val="00F744C2"/>
    <w:rsid w:val="00F749AA"/>
    <w:rsid w:val="00F74B01"/>
    <w:rsid w:val="00F74C32"/>
    <w:rsid w:val="00F74CA2"/>
    <w:rsid w:val="00F75949"/>
    <w:rsid w:val="00F75DB9"/>
    <w:rsid w:val="00F763B0"/>
    <w:rsid w:val="00F76D0A"/>
    <w:rsid w:val="00F77577"/>
    <w:rsid w:val="00F8067D"/>
    <w:rsid w:val="00F80BD3"/>
    <w:rsid w:val="00F81E43"/>
    <w:rsid w:val="00F82C16"/>
    <w:rsid w:val="00F833C9"/>
    <w:rsid w:val="00F8348B"/>
    <w:rsid w:val="00F83F29"/>
    <w:rsid w:val="00F845AA"/>
    <w:rsid w:val="00F848C2"/>
    <w:rsid w:val="00F85D48"/>
    <w:rsid w:val="00F85E3D"/>
    <w:rsid w:val="00F86270"/>
    <w:rsid w:val="00F9017B"/>
    <w:rsid w:val="00F90774"/>
    <w:rsid w:val="00F90C6C"/>
    <w:rsid w:val="00F91511"/>
    <w:rsid w:val="00F9231E"/>
    <w:rsid w:val="00F935B0"/>
    <w:rsid w:val="00F93CD0"/>
    <w:rsid w:val="00F93FC2"/>
    <w:rsid w:val="00F943A1"/>
    <w:rsid w:val="00F94733"/>
    <w:rsid w:val="00F94C4A"/>
    <w:rsid w:val="00F95562"/>
    <w:rsid w:val="00F95691"/>
    <w:rsid w:val="00F957B7"/>
    <w:rsid w:val="00FA1E8D"/>
    <w:rsid w:val="00FA2B37"/>
    <w:rsid w:val="00FA2C7B"/>
    <w:rsid w:val="00FA2FB3"/>
    <w:rsid w:val="00FA5D3B"/>
    <w:rsid w:val="00FA77B6"/>
    <w:rsid w:val="00FA794A"/>
    <w:rsid w:val="00FA7972"/>
    <w:rsid w:val="00FA7A7F"/>
    <w:rsid w:val="00FB006C"/>
    <w:rsid w:val="00FB010D"/>
    <w:rsid w:val="00FB1043"/>
    <w:rsid w:val="00FB1B9D"/>
    <w:rsid w:val="00FB381C"/>
    <w:rsid w:val="00FB3EE4"/>
    <w:rsid w:val="00FB5F86"/>
    <w:rsid w:val="00FB6813"/>
    <w:rsid w:val="00FB752E"/>
    <w:rsid w:val="00FC01A9"/>
    <w:rsid w:val="00FC068D"/>
    <w:rsid w:val="00FC0C7A"/>
    <w:rsid w:val="00FC2E94"/>
    <w:rsid w:val="00FC2F0D"/>
    <w:rsid w:val="00FC3525"/>
    <w:rsid w:val="00FC39DA"/>
    <w:rsid w:val="00FC415E"/>
    <w:rsid w:val="00FC4776"/>
    <w:rsid w:val="00FC5573"/>
    <w:rsid w:val="00FC66EF"/>
    <w:rsid w:val="00FC693F"/>
    <w:rsid w:val="00FD02EB"/>
    <w:rsid w:val="00FD02F0"/>
    <w:rsid w:val="00FD0530"/>
    <w:rsid w:val="00FD0A15"/>
    <w:rsid w:val="00FD0E17"/>
    <w:rsid w:val="00FD138B"/>
    <w:rsid w:val="00FD1633"/>
    <w:rsid w:val="00FD164F"/>
    <w:rsid w:val="00FD230F"/>
    <w:rsid w:val="00FD251E"/>
    <w:rsid w:val="00FD3567"/>
    <w:rsid w:val="00FD3F00"/>
    <w:rsid w:val="00FD6590"/>
    <w:rsid w:val="00FD6607"/>
    <w:rsid w:val="00FD7EE1"/>
    <w:rsid w:val="00FE0142"/>
    <w:rsid w:val="00FE2F4F"/>
    <w:rsid w:val="00FE3C0D"/>
    <w:rsid w:val="00FE5941"/>
    <w:rsid w:val="00FE7304"/>
    <w:rsid w:val="00FE7C17"/>
    <w:rsid w:val="00FE7F16"/>
    <w:rsid w:val="00FF16D3"/>
    <w:rsid w:val="00FF1F4E"/>
    <w:rsid w:val="00FF2DD0"/>
    <w:rsid w:val="00FF38EE"/>
    <w:rsid w:val="00FF674A"/>
    <w:rsid w:val="00FF7BEB"/>
    <w:rsid w:val="00FF7DF9"/>
    <w:rsid w:val="0250053E"/>
    <w:rsid w:val="03530AC3"/>
    <w:rsid w:val="03F32FEA"/>
    <w:rsid w:val="093551AA"/>
    <w:rsid w:val="09E4165D"/>
    <w:rsid w:val="0C9230AF"/>
    <w:rsid w:val="11BA7D97"/>
    <w:rsid w:val="11F07C5A"/>
    <w:rsid w:val="127F6F8C"/>
    <w:rsid w:val="14FD4246"/>
    <w:rsid w:val="1A921EE7"/>
    <w:rsid w:val="1ABA6684"/>
    <w:rsid w:val="216512B7"/>
    <w:rsid w:val="21D7438E"/>
    <w:rsid w:val="26E676CD"/>
    <w:rsid w:val="2D78610F"/>
    <w:rsid w:val="30497BCA"/>
    <w:rsid w:val="32E4798E"/>
    <w:rsid w:val="34477B01"/>
    <w:rsid w:val="35A35FF5"/>
    <w:rsid w:val="38163833"/>
    <w:rsid w:val="38C634BD"/>
    <w:rsid w:val="3ECF6AF2"/>
    <w:rsid w:val="423F6FC0"/>
    <w:rsid w:val="434D6D49"/>
    <w:rsid w:val="46032BF8"/>
    <w:rsid w:val="48EC1326"/>
    <w:rsid w:val="49F2427E"/>
    <w:rsid w:val="4BAF16C7"/>
    <w:rsid w:val="4DB5516C"/>
    <w:rsid w:val="4FF507DC"/>
    <w:rsid w:val="57834A26"/>
    <w:rsid w:val="5E117B5F"/>
    <w:rsid w:val="6A0D01DA"/>
    <w:rsid w:val="6AB95F1D"/>
    <w:rsid w:val="6B312E01"/>
    <w:rsid w:val="6E55544E"/>
    <w:rsid w:val="70CE76F0"/>
    <w:rsid w:val="720656DC"/>
    <w:rsid w:val="74217177"/>
    <w:rsid w:val="742E4BFA"/>
    <w:rsid w:val="7B673BA5"/>
    <w:rsid w:val="7D9002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heme="majorBidi"/>
      <w:kern w:val="2"/>
      <w:sz w:val="32"/>
      <w:szCs w:val="30"/>
      <w:lang w:val="en-US" w:eastAsia="zh-CN" w:bidi="ar-SA"/>
    </w:rPr>
  </w:style>
  <w:style w:type="paragraph" w:styleId="2">
    <w:name w:val="heading 1"/>
    <w:basedOn w:val="1"/>
    <w:next w:val="1"/>
    <w:link w:val="22"/>
    <w:qFormat/>
    <w:uiPriority w:val="9"/>
    <w:pPr>
      <w:keepNext/>
      <w:keepLines/>
      <w:adjustRightInd w:val="0"/>
      <w:ind w:firstLine="0" w:firstLineChars="0"/>
      <w:jc w:val="center"/>
      <w:textAlignment w:val="baseline"/>
      <w:outlineLvl w:val="0"/>
    </w:pPr>
    <w:rPr>
      <w:rFonts w:ascii="黑体" w:hAnsi="黑体" w:eastAsia="黑体" w:cs="Times New Roman"/>
      <w:b/>
      <w:spacing w:val="-4"/>
      <w:kern w:val="44"/>
      <w:sz w:val="36"/>
      <w:szCs w:val="36"/>
    </w:rPr>
  </w:style>
  <w:style w:type="paragraph" w:styleId="3">
    <w:name w:val="heading 2"/>
    <w:basedOn w:val="1"/>
    <w:next w:val="1"/>
    <w:link w:val="23"/>
    <w:unhideWhenUsed/>
    <w:qFormat/>
    <w:uiPriority w:val="9"/>
    <w:pPr>
      <w:keepNext/>
      <w:keepLines/>
      <w:ind w:firstLine="643"/>
      <w:outlineLvl w:val="1"/>
    </w:pPr>
    <w:rPr>
      <w:rFonts w:ascii="楷体_GB2312" w:hAnsi="黑体" w:eastAsia="楷体_GB2312"/>
      <w:b/>
      <w:bCs/>
      <w:szCs w:val="32"/>
    </w:rPr>
  </w:style>
  <w:style w:type="paragraph" w:styleId="4">
    <w:name w:val="heading 3"/>
    <w:basedOn w:val="1"/>
    <w:next w:val="1"/>
    <w:link w:val="31"/>
    <w:semiHidden/>
    <w:unhideWhenUsed/>
    <w:qFormat/>
    <w:uiPriority w:val="9"/>
    <w:pPr>
      <w:keepNext/>
      <w:keepLines/>
      <w:spacing w:before="260" w:after="260" w:line="416" w:lineRule="atLeast"/>
      <w:outlineLvl w:val="2"/>
    </w:pPr>
    <w:rPr>
      <w:b/>
      <w:bCs/>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6"/>
    <w:semiHidden/>
    <w:unhideWhenUsed/>
    <w:qFormat/>
    <w:uiPriority w:val="99"/>
    <w:pPr>
      <w:jc w:val="left"/>
    </w:pPr>
  </w:style>
  <w:style w:type="paragraph" w:styleId="6">
    <w:name w:val="Body Text"/>
    <w:basedOn w:val="1"/>
    <w:link w:val="33"/>
    <w:unhideWhenUsed/>
    <w:qFormat/>
    <w:uiPriority w:val="99"/>
    <w:pPr>
      <w:spacing w:line="240" w:lineRule="auto"/>
      <w:ind w:firstLine="0" w:firstLineChars="0"/>
    </w:pPr>
    <w:rPr>
      <w:rFonts w:eastAsia="宋体" w:cs="Times New Roman"/>
      <w:kern w:val="0"/>
      <w:szCs w:val="32"/>
    </w:rPr>
  </w:style>
  <w:style w:type="paragraph" w:styleId="7">
    <w:name w:val="Balloon Text"/>
    <w:basedOn w:val="1"/>
    <w:link w:val="25"/>
    <w:semiHidden/>
    <w:unhideWhenUsed/>
    <w:qFormat/>
    <w:uiPriority w:val="99"/>
    <w:pPr>
      <w:spacing w:line="240" w:lineRule="auto"/>
    </w:pPr>
    <w:rPr>
      <w:sz w:val="18"/>
      <w:szCs w:val="18"/>
    </w:rPr>
  </w:style>
  <w:style w:type="paragraph" w:styleId="8">
    <w:name w:val="footer"/>
    <w:basedOn w:val="1"/>
    <w:link w:val="21"/>
    <w:unhideWhenUsed/>
    <w:qFormat/>
    <w:uiPriority w:val="99"/>
    <w:pPr>
      <w:tabs>
        <w:tab w:val="center" w:pos="4153"/>
        <w:tab w:val="right" w:pos="8306"/>
      </w:tabs>
      <w:snapToGrid w:val="0"/>
      <w:spacing w:line="240" w:lineRule="atLeast"/>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10">
    <w:name w:val="toc 1"/>
    <w:basedOn w:val="1"/>
    <w:next w:val="1"/>
    <w:unhideWhenUsed/>
    <w:qFormat/>
    <w:uiPriority w:val="39"/>
  </w:style>
  <w:style w:type="paragraph" w:styleId="11">
    <w:name w:val="footnote text"/>
    <w:basedOn w:val="1"/>
    <w:link w:val="24"/>
    <w:semiHidden/>
    <w:unhideWhenUsed/>
    <w:qFormat/>
    <w:uiPriority w:val="99"/>
    <w:pPr>
      <w:snapToGrid w:val="0"/>
      <w:jc w:val="left"/>
    </w:pPr>
    <w:rPr>
      <w:sz w:val="18"/>
      <w:szCs w:val="18"/>
    </w:rPr>
  </w:style>
  <w:style w:type="paragraph" w:styleId="12">
    <w:name w:val="toc 2"/>
    <w:basedOn w:val="1"/>
    <w:next w:val="1"/>
    <w:unhideWhenUsed/>
    <w:qFormat/>
    <w:uiPriority w:val="39"/>
    <w:pPr>
      <w:tabs>
        <w:tab w:val="right" w:leader="dot" w:pos="8296"/>
      </w:tabs>
      <w:ind w:left="640" w:leftChars="200" w:firstLine="0" w:firstLineChars="0"/>
    </w:pPr>
    <w:rPr>
      <w:rFonts w:ascii="楷体_GB2312" w:hAnsi="黑体" w:eastAsia="楷体_GB2312"/>
    </w:rPr>
  </w:style>
  <w:style w:type="paragraph" w:styleId="13">
    <w:name w:val="annotation subject"/>
    <w:basedOn w:val="5"/>
    <w:next w:val="5"/>
    <w:link w:val="27"/>
    <w:semiHidden/>
    <w:unhideWhenUsed/>
    <w:qFormat/>
    <w:uiPriority w:val="99"/>
    <w:rPr>
      <w:b/>
      <w:bCs/>
    </w:rPr>
  </w:style>
  <w:style w:type="character" w:styleId="16">
    <w:name w:val="FollowedHyperlink"/>
    <w:basedOn w:val="15"/>
    <w:semiHidden/>
    <w:unhideWhenUsed/>
    <w:qFormat/>
    <w:uiPriority w:val="99"/>
    <w:rPr>
      <w:color w:val="954F72"/>
      <w:u w:val="single"/>
    </w:rPr>
  </w:style>
  <w:style w:type="character" w:styleId="17">
    <w:name w:val="Hyperlink"/>
    <w:basedOn w:val="15"/>
    <w:semiHidden/>
    <w:unhideWhenUsed/>
    <w:qFormat/>
    <w:uiPriority w:val="99"/>
    <w:rPr>
      <w:color w:val="0563C1"/>
      <w:u w:val="single"/>
    </w:rPr>
  </w:style>
  <w:style w:type="character" w:styleId="18">
    <w:name w:val="annotation reference"/>
    <w:basedOn w:val="15"/>
    <w:semiHidden/>
    <w:unhideWhenUsed/>
    <w:qFormat/>
    <w:uiPriority w:val="99"/>
    <w:rPr>
      <w:sz w:val="21"/>
      <w:szCs w:val="21"/>
    </w:rPr>
  </w:style>
  <w:style w:type="character" w:styleId="19">
    <w:name w:val="footnote reference"/>
    <w:basedOn w:val="15"/>
    <w:semiHidden/>
    <w:unhideWhenUsed/>
    <w:qFormat/>
    <w:uiPriority w:val="99"/>
    <w:rPr>
      <w:vertAlign w:val="superscript"/>
    </w:rPr>
  </w:style>
  <w:style w:type="character" w:customStyle="1" w:styleId="20">
    <w:name w:val="页眉 字符"/>
    <w:basedOn w:val="15"/>
    <w:link w:val="9"/>
    <w:qFormat/>
    <w:uiPriority w:val="99"/>
    <w:rPr>
      <w:rFonts w:ascii="Times New Roman" w:hAnsi="Times New Roman" w:eastAsia="仿宋_GB2312" w:cstheme="majorBidi"/>
      <w:sz w:val="18"/>
      <w:szCs w:val="18"/>
    </w:rPr>
  </w:style>
  <w:style w:type="character" w:customStyle="1" w:styleId="21">
    <w:name w:val="页脚 字符"/>
    <w:basedOn w:val="15"/>
    <w:link w:val="8"/>
    <w:qFormat/>
    <w:uiPriority w:val="99"/>
    <w:rPr>
      <w:rFonts w:ascii="Times New Roman" w:hAnsi="Times New Roman" w:eastAsia="仿宋_GB2312" w:cstheme="majorBidi"/>
      <w:sz w:val="18"/>
      <w:szCs w:val="18"/>
    </w:rPr>
  </w:style>
  <w:style w:type="character" w:customStyle="1" w:styleId="22">
    <w:name w:val="标题 1 字符"/>
    <w:basedOn w:val="15"/>
    <w:link w:val="2"/>
    <w:qFormat/>
    <w:uiPriority w:val="9"/>
    <w:rPr>
      <w:rFonts w:ascii="黑体" w:hAnsi="黑体" w:eastAsia="黑体" w:cs="Times New Roman"/>
      <w:b/>
      <w:spacing w:val="-4"/>
      <w:kern w:val="44"/>
      <w:sz w:val="36"/>
      <w:szCs w:val="36"/>
    </w:rPr>
  </w:style>
  <w:style w:type="character" w:customStyle="1" w:styleId="23">
    <w:name w:val="标题 2 字符"/>
    <w:basedOn w:val="15"/>
    <w:link w:val="3"/>
    <w:qFormat/>
    <w:uiPriority w:val="9"/>
    <w:rPr>
      <w:rFonts w:ascii="楷体_GB2312" w:hAnsi="黑体" w:eastAsia="楷体_GB2312" w:cstheme="majorBidi"/>
      <w:b/>
      <w:bCs/>
      <w:kern w:val="2"/>
      <w:sz w:val="32"/>
      <w:szCs w:val="32"/>
    </w:rPr>
  </w:style>
  <w:style w:type="character" w:customStyle="1" w:styleId="24">
    <w:name w:val="脚注文本 字符"/>
    <w:basedOn w:val="15"/>
    <w:link w:val="11"/>
    <w:semiHidden/>
    <w:qFormat/>
    <w:uiPriority w:val="99"/>
    <w:rPr>
      <w:rFonts w:ascii="Times New Roman" w:hAnsi="Times New Roman" w:eastAsia="仿宋_GB2312" w:cstheme="majorBidi"/>
      <w:sz w:val="18"/>
      <w:szCs w:val="18"/>
    </w:rPr>
  </w:style>
  <w:style w:type="character" w:customStyle="1" w:styleId="25">
    <w:name w:val="批注框文本 字符"/>
    <w:basedOn w:val="15"/>
    <w:link w:val="7"/>
    <w:semiHidden/>
    <w:qFormat/>
    <w:uiPriority w:val="99"/>
    <w:rPr>
      <w:rFonts w:ascii="Times New Roman" w:hAnsi="Times New Roman" w:eastAsia="仿宋_GB2312" w:cstheme="majorBidi"/>
      <w:sz w:val="18"/>
      <w:szCs w:val="18"/>
    </w:rPr>
  </w:style>
  <w:style w:type="character" w:customStyle="1" w:styleId="26">
    <w:name w:val="批注文字 字符"/>
    <w:basedOn w:val="15"/>
    <w:link w:val="5"/>
    <w:semiHidden/>
    <w:qFormat/>
    <w:uiPriority w:val="99"/>
    <w:rPr>
      <w:rFonts w:ascii="Times New Roman" w:hAnsi="Times New Roman" w:eastAsia="仿宋_GB2312" w:cstheme="majorBidi"/>
      <w:sz w:val="32"/>
      <w:szCs w:val="30"/>
    </w:rPr>
  </w:style>
  <w:style w:type="character" w:customStyle="1" w:styleId="27">
    <w:name w:val="批注主题 字符"/>
    <w:basedOn w:val="26"/>
    <w:link w:val="13"/>
    <w:semiHidden/>
    <w:qFormat/>
    <w:uiPriority w:val="99"/>
    <w:rPr>
      <w:rFonts w:ascii="Times New Roman" w:hAnsi="Times New Roman" w:eastAsia="仿宋_GB2312" w:cstheme="majorBidi"/>
      <w:b/>
      <w:bCs/>
      <w:sz w:val="32"/>
      <w:szCs w:val="30"/>
    </w:rPr>
  </w:style>
  <w:style w:type="paragraph" w:styleId="28">
    <w:name w:val="List Paragraph"/>
    <w:basedOn w:val="1"/>
    <w:qFormat/>
    <w:uiPriority w:val="99"/>
    <w:pPr>
      <w:ind w:firstLine="420"/>
    </w:pPr>
  </w:style>
  <w:style w:type="paragraph" w:customStyle="1" w:styleId="29">
    <w:name w:val="Char Char Char1 Char Char Char Char"/>
    <w:basedOn w:val="1"/>
    <w:next w:val="1"/>
    <w:qFormat/>
    <w:uiPriority w:val="0"/>
    <w:pPr>
      <w:spacing w:line="360" w:lineRule="auto"/>
    </w:pPr>
    <w:rPr>
      <w:rFonts w:ascii="宋体" w:hAnsi="宋体" w:cs="宋体"/>
      <w:kern w:val="32"/>
      <w:sz w:val="24"/>
      <w:szCs w:val="32"/>
    </w:rPr>
  </w:style>
  <w:style w:type="paragraph" w:customStyle="1" w:styleId="30">
    <w:name w:val="修订1"/>
    <w:hidden/>
    <w:semiHidden/>
    <w:qFormat/>
    <w:uiPriority w:val="99"/>
    <w:rPr>
      <w:rFonts w:ascii="Times New Roman" w:hAnsi="Times New Roman" w:eastAsia="仿宋_GB2312" w:cstheme="majorBidi"/>
      <w:kern w:val="2"/>
      <w:sz w:val="32"/>
      <w:szCs w:val="30"/>
      <w:lang w:val="en-US" w:eastAsia="zh-CN" w:bidi="ar-SA"/>
    </w:rPr>
  </w:style>
  <w:style w:type="character" w:customStyle="1" w:styleId="31">
    <w:name w:val="标题 3 字符"/>
    <w:basedOn w:val="15"/>
    <w:link w:val="4"/>
    <w:semiHidden/>
    <w:qFormat/>
    <w:uiPriority w:val="9"/>
    <w:rPr>
      <w:b/>
      <w:bCs/>
      <w:kern w:val="2"/>
      <w:sz w:val="32"/>
      <w:szCs w:val="32"/>
    </w:rPr>
  </w:style>
  <w:style w:type="paragraph" w:customStyle="1" w:styleId="32">
    <w:name w:val="修订2"/>
    <w:hidden/>
    <w:semiHidden/>
    <w:qFormat/>
    <w:uiPriority w:val="99"/>
    <w:rPr>
      <w:rFonts w:ascii="Times New Roman" w:hAnsi="Times New Roman" w:eastAsia="仿宋_GB2312" w:cstheme="majorBidi"/>
      <w:kern w:val="2"/>
      <w:sz w:val="32"/>
      <w:szCs w:val="30"/>
      <w:lang w:val="en-US" w:eastAsia="zh-CN" w:bidi="ar-SA"/>
    </w:rPr>
  </w:style>
  <w:style w:type="character" w:customStyle="1" w:styleId="33">
    <w:name w:val="正文文本 字符"/>
    <w:basedOn w:val="15"/>
    <w:link w:val="6"/>
    <w:qFormat/>
    <w:uiPriority w:val="99"/>
    <w:rPr>
      <w:rFonts w:eastAsia="宋体" w:cs="Times New Roman"/>
      <w:sz w:val="32"/>
      <w:szCs w:val="32"/>
    </w:rPr>
  </w:style>
  <w:style w:type="paragraph" w:customStyle="1" w:styleId="34">
    <w:name w:val="font5"/>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18"/>
      <w:szCs w:val="18"/>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center"/>
    </w:pPr>
    <w:rPr>
      <w:rFonts w:ascii="仿宋_GB2312" w:hAnsi="宋体" w:cs="宋体"/>
      <w:kern w:val="0"/>
      <w:sz w:val="24"/>
      <w:szCs w:val="24"/>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38">
    <w:name w:val="xl69"/>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39">
    <w:name w:val="xl70"/>
    <w:basedOn w:val="1"/>
    <w:qFormat/>
    <w:uiPriority w:val="0"/>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cs="宋体"/>
      <w:kern w:val="0"/>
      <w:sz w:val="24"/>
      <w:szCs w:val="24"/>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ind w:firstLine="0" w:firstLineChars="0"/>
      <w:jc w:val="left"/>
    </w:pPr>
    <w:rPr>
      <w:rFonts w:ascii="仿宋_GB2312"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C1034-304D-47C8-A02D-0C51D275245C}">
  <ds:schemaRefs/>
</ds:datastoreItem>
</file>

<file path=docProps/app.xml><?xml version="1.0" encoding="utf-8"?>
<Properties xmlns="http://schemas.openxmlformats.org/officeDocument/2006/extended-properties" xmlns:vt="http://schemas.openxmlformats.org/officeDocument/2006/docPropsVTypes">
  <Template>Normal</Template>
  <Company>GEI</Company>
  <Pages>98</Pages>
  <Words>8546</Words>
  <Characters>48713</Characters>
  <Lines>405</Lines>
  <Paragraphs>114</Paragraphs>
  <TotalTime>814</TotalTime>
  <ScaleCrop>false</ScaleCrop>
  <LinksUpToDate>false</LinksUpToDate>
  <CharactersWithSpaces>57145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2020-08-23T17:02:00Z</dcterms:created>
  <dc:creator>玥 胡</dc:creator>
  <cp:lastModifiedBy>Administrator</cp:lastModifiedBy>
  <cp:lastPrinted>2020-08-20T09:33:00Z</cp:lastPrinted>
  <dcterms:modified xsi:type="dcterms:W3CDTF">2021-11-11T12:07:53Z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AB7F1F86B0AF4265B3CF01DDD8DB9549</vt:lpwstr>
  </property>
</Properties>
</file>