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东丽区202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年食品安全监督管理计划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为深入贯彻落实习近平总书记关于食品安全“四个最严”的重要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，按照市委、市政府决策部署和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区委、区政府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工作要求，进一步做好本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食品安全监督管理工作，依据《中华人民共和国食品安全法》（以下简称《食品安全法》）《中华人民共和国食品安全法实施条例》（以下简称《食品安全法实施条例》）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、市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食品安全委员会202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年食品安全重点工作安排和市、区创建食品安全示范</w:t>
      </w:r>
      <w:r>
        <w:rPr>
          <w:rFonts w:hint="eastAsia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城市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的工作部署，结合我区实际，编制本计划。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坚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持以习近平新时代中国特色社会主义思想为指导，全面贯彻党的十九大和十九届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六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中全会精神，贯彻落实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习近平总书记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关于食品安全“四个最严”的重要指示精神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和《中共中央 国务院关于深化改革加强食品安全工作的意见》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要求</w:t>
      </w:r>
      <w:r>
        <w:rPr>
          <w:rFonts w:hint="eastAsia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坚持问题导向，强化抽检在食品安全风险隐患排查治理方面的效能，推动监管与抽检有机结合，推动区域与部门协作联动，形成监管工作合力，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着力防范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化解食品安全领域潜在风险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，为辖区人民群众创造饮食消费安全环境。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u w:val="none"/>
        </w:rPr>
        <w:t>二、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u w:val="none"/>
          <w:lang w:eastAsia="zh-CN"/>
        </w:rPr>
        <w:t>工作</w:t>
      </w: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u w:val="none"/>
        </w:rPr>
        <w:t>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</w:pPr>
      <w:r>
        <w:rPr>
          <w:rFonts w:hint="eastAsia" w:eastAsia="楷体_GB2312" w:cs="Times New Roman"/>
          <w:bCs/>
          <w:sz w:val="32"/>
          <w:szCs w:val="32"/>
          <w:u w:val="none"/>
          <w:lang w:val="en-US" w:eastAsia="zh-CN"/>
        </w:rPr>
        <w:t>--------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  <w:t>加强党政同责，落实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</w:rPr>
        <w:t>属地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eastAsia" w:eastAsia="楷体_GB2312" w:cs="Times New Roman"/>
          <w:bCs/>
          <w:sz w:val="32"/>
          <w:szCs w:val="32"/>
          <w:u w:val="none"/>
          <w:lang w:val="en-US" w:eastAsia="zh-CN"/>
        </w:rPr>
        <w:t>--------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  <w:t>强化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</w:rPr>
        <w:t>监管责任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  <w:t>，落实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</w:rPr>
        <w:t>全过程监管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eastAsia" w:eastAsia="楷体_GB2312" w:cs="Times New Roman"/>
          <w:bCs/>
          <w:sz w:val="32"/>
          <w:szCs w:val="32"/>
          <w:u w:val="none"/>
          <w:lang w:val="en-US" w:eastAsia="zh-CN"/>
        </w:rPr>
        <w:t>--------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  <w:t>加强巡查督查，落实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</w:rPr>
        <w:t>企业主体责任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eastAsia" w:eastAsia="楷体_GB2312" w:cs="Times New Roman"/>
          <w:bCs/>
          <w:sz w:val="32"/>
          <w:szCs w:val="32"/>
          <w:u w:val="none"/>
          <w:lang w:val="en-US" w:eastAsia="zh-CN"/>
        </w:rPr>
        <w:t>--------</w:t>
      </w:r>
      <w:r>
        <w:rPr>
          <w:rFonts w:hint="default" w:ascii="Times New Roman" w:hAnsi="Times New Roman" w:eastAsia="楷体_GB2312" w:cs="Times New Roman"/>
          <w:bCs/>
          <w:spacing w:val="-11"/>
          <w:sz w:val="32"/>
          <w:szCs w:val="32"/>
          <w:u w:val="none"/>
        </w:rPr>
        <w:t>落实“行刑衔接”</w:t>
      </w:r>
      <w:r>
        <w:rPr>
          <w:rFonts w:hint="eastAsia" w:ascii="Times New Roman" w:hAnsi="Times New Roman" w:eastAsia="楷体_GB2312" w:cs="Times New Roman"/>
          <w:bCs/>
          <w:spacing w:val="-11"/>
          <w:sz w:val="32"/>
          <w:szCs w:val="32"/>
          <w:u w:val="none"/>
          <w:lang w:eastAsia="zh-CN"/>
        </w:rPr>
        <w:t>，形成监管合力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eastAsia" w:eastAsia="楷体_GB2312" w:cs="Times New Roman"/>
          <w:bCs/>
          <w:sz w:val="32"/>
          <w:szCs w:val="32"/>
          <w:u w:val="none"/>
          <w:lang w:val="en-US" w:eastAsia="zh-CN"/>
        </w:rPr>
        <w:t>--------</w:t>
      </w:r>
      <w:r>
        <w:rPr>
          <w:rFonts w:hint="eastAsia" w:ascii="Times New Roman" w:hAnsi="Times New Roman" w:eastAsia="楷体_GB2312" w:cs="Times New Roman"/>
          <w:bCs/>
          <w:spacing w:val="-11"/>
          <w:sz w:val="32"/>
          <w:szCs w:val="32"/>
          <w:u w:val="none"/>
        </w:rPr>
        <w:t>防控新冠肺炎疫情，</w:t>
      </w:r>
      <w:r>
        <w:rPr>
          <w:rFonts w:hint="default" w:ascii="Times New Roman" w:hAnsi="Times New Roman" w:eastAsia="楷体_GB2312" w:cs="Times New Roman"/>
          <w:bCs/>
          <w:spacing w:val="-11"/>
          <w:sz w:val="32"/>
          <w:szCs w:val="32"/>
          <w:u w:val="none"/>
        </w:rPr>
        <w:t>严格进口冷链食品管理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eastAsia="楷体_GB2312" w:cs="Times New Roman"/>
          <w:bCs/>
          <w:sz w:val="32"/>
          <w:szCs w:val="32"/>
          <w:u w:val="none"/>
          <w:lang w:val="en-US" w:eastAsia="zh-CN"/>
        </w:rPr>
        <w:t>--------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  <w:t>防范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</w:rPr>
        <w:t>风险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  <w:t>隐患，做好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</w:rPr>
        <w:t>风险监测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eastAsia" w:eastAsia="楷体_GB2312" w:cs="Times New Roman"/>
          <w:bCs/>
          <w:sz w:val="32"/>
          <w:szCs w:val="32"/>
          <w:u w:val="none"/>
          <w:lang w:val="en-US" w:eastAsia="zh-CN"/>
        </w:rPr>
        <w:t>--------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  <w:t>加强宣传引导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</w:rPr>
        <w:t>，形成共治格局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eastAsia" w:eastAsia="楷体_GB2312" w:cs="Times New Roman"/>
          <w:bCs/>
          <w:sz w:val="32"/>
          <w:szCs w:val="32"/>
          <w:u w:val="none"/>
          <w:lang w:val="en-US" w:eastAsia="zh-CN"/>
        </w:rPr>
        <w:t>--------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  <w:t>开展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  <w:lang w:eastAsia="zh-CN"/>
        </w:rPr>
        <w:t>“双安双创”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  <w:t>，推动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  <w:lang w:eastAsia="zh-CN"/>
        </w:rPr>
        <w:t>示范引领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eastAsia" w:eastAsia="楷体_GB2312" w:cs="Times New Roman"/>
          <w:bCs/>
          <w:sz w:val="32"/>
          <w:szCs w:val="32"/>
          <w:u w:val="none"/>
          <w:lang w:val="en-US" w:eastAsia="zh-CN"/>
        </w:rPr>
        <w:t>--------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</w:rPr>
        <w:t>强化目标考核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  <w:t>，压实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</w:rPr>
        <w:t>安全责任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u w:val="none"/>
        </w:rPr>
        <w:t>三、具体任务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全年计划抽检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val="en-US" w:eastAsia="zh-CN"/>
        </w:rPr>
        <w:t>7004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批次，具体抽检项目和批次如下：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华文行楷" w:hAnsi="华文行楷" w:eastAsia="华文行楷" w:cs="华文行楷"/>
          <w:b w:val="0"/>
          <w:bCs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u w:val="none"/>
        </w:rPr>
        <w:t>（一）食用农产品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全年计划抽检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val="en-US" w:eastAsia="zh-CN"/>
        </w:rPr>
        <w:t>2404批次，具体安排如下：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1.全年农产品质量安全实验室检测804批次。其中：饲料60批次、饲料添加剂20批次；生鲜乳24批次；蔬菜380批次；畜禽200批次；水产品120批次。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2.快速检测1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val="en-US" w:eastAsia="zh-CN"/>
        </w:rPr>
        <w:t>60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0批次。其中：蔬菜、水果、食用菌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val="en-US" w:eastAsia="zh-CN"/>
        </w:rPr>
        <w:t>80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0批次；生猪出栏500批次；水产300批次。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Cs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u w:val="none"/>
        </w:rPr>
        <w:t>（二）食品生产经营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全年计划抽检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val="en-US" w:eastAsia="zh-CN"/>
        </w:rPr>
        <w:t>4600余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批次，具体安排如下：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1.天津市转移监督抽检任务。根据《202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年天津市食品安全监督抽检计划》分配抽检任务，全年计划开展监督抽检700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余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批次。监督抽检品种覆盖食品生产及经营环节34类食品。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2.天津市食品安全区级食用农产品监督抽检任务。结合“双安双创”要求，全年计划开展监督抽检7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0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余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3.区级食品安全监督抽检任务。全年计划抽检3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val="en-US" w:eastAsia="zh-CN"/>
        </w:rPr>
        <w:t>000余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批次：抽检品种覆盖食品生产及经营环节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食品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4.申投诉举报、执法办案和复检环节。计划开展监督抽检、复检80批次。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以上计划将按照市场监管总局及天津市市场监管委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val="en-US" w:eastAsia="zh-CN"/>
        </w:rPr>
        <w:t>2022年监督抽检计划进行调整。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华文行楷" w:hAnsi="华文行楷" w:eastAsia="华文行楷" w:cs="华文行楷"/>
          <w:b w:val="0"/>
          <w:bCs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u w:val="none"/>
        </w:rPr>
        <w:t>（三）食品安全风险监测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1.食品污染、食品有害因素监测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根据我市2022年食品安全风险监测工作方案，结合实际制定我区工作方案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开展食品污染物和有害因素监测及放射性污染监测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开展食品安全风险评估，及时发现食品安全风险和隐患。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2.食源性疾病监测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。一是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开展食源性疾病病例监测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为预防食源性疾病暴发提供技术依据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；二是开展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食源性疾病主动监测，了解重要食源性疾病的发病情况。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3.集中餐饮具消毒企业监管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继续加强日常巡查力度，督促集中餐饮具消毒企业落实各项卫生要求及制度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做好2022年国家双随机监督抽检工作。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4.食品安全标准跟踪评价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按要求做好2022年食品安全标准跟踪评价工作，为标准制定、修订工作提供参考依据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继续组织做好辖区食品安全标准宣贯工作，做好标准解读。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u w:val="none"/>
        </w:rPr>
        <w:t>四、监管措施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华文行楷" w:cs="Times New Roman"/>
          <w:bCs/>
          <w:sz w:val="24"/>
          <w:u w:val="none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</w:rPr>
        <w:t>（一）食用农产品安全监管措施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一是继续实施“放心工程”建设；二是强化农产品质量安全监管体系建设；三是强化质量安全机制管理；四是开展专项整治行动；五是强化农资生产经营监督管理，保障农资供应安全；六是深化质量安全突发事件应急体系建设；七是强化质量安全技术支撑；八是加大宣传力度，深入开展法律法规的宣传推动工作，积极开展农产品质量安全宣传“六进”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</w:rPr>
        <w:t>（二）食品生产经营安全监管措施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一是严格许可审批；二是强化企业落实食品安全主体责任；三是加大食品安全日常监管力度；四是深入开展各类专项整治行动；五是落实监督抽查和风险监测工作责任；六是深入推进食品可追溯体系建设；七是深化餐饮业提升工程建设；八是强化学校食堂食品安全监管和指导；九是深入贯彻落实打击保健食品“四非”工作部署；十是贯彻落实《天津市食品生产加工小作坊和食品摊贩监督管理办法》；十一是完善食品安全投诉举报及应急管理机制；十二是大力开展宣传教育培训，提高监管执法人员与食品生产经营者履责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</w:rPr>
        <w:t>（三）对食品相关产品的监管措施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一是严格按照相关法律法规和规章制度对食品相关产品进行监管；二是督促企业落实质量安全主体责任，实施风险分级管理；三是严格生产许可准入，落实“双随机、一公开”工作要求；四是开展产品监督抽查和执法稽查，严厉查处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1"/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</w:rPr>
        <w:t>（四）食品安全风险监测工作措施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一是开展食品污染及食品中的有害因素监测；二是开展食源性疾病监测，对食源性疾病个案信息和标本采集、实验室检测；三是会同业务主管部门共同完成耐药性监测和致病菌分子分型监测；四是按照统一推荐的监测方法进行监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</w:rPr>
        <w:t>（五）依法打击危害食品安全违法犯罪行为的工作措施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一是深入推进食品安全和农产品质量安全行政执法与刑事司法衔接；二是建立食品安全事件调查信息共享和问题线索移送机制；三是行刑联手，依法打击危害食品安全领域的各类违法犯罪行为。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u w:val="none"/>
        </w:rPr>
        <w:t>五、积极推进食品安全重点工作开展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华文行楷" w:hAnsi="华文行楷" w:eastAsia="华文行楷" w:cs="华文行楷"/>
          <w:b w:val="0"/>
          <w:bCs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</w:rPr>
        <w:t>（一）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  <w:t>明确职责任务，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</w:rPr>
        <w:t>落实食品安全责任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1.落实属地党政同责、企业主体责任、部门监管责任和行业主管责任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落实《东丽区食品安全监督管理部门职责清单》。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.提升全区食品安全治理水平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人民群众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对食品安全的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满意度、支持率和知晓率。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</w:rPr>
        <w:t>（二）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  <w:t>强化管理培训，提升监管能力水平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强化食品安全人员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管理，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不断提升食品安全治理能力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.完善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食品和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农产品质量安全区、街、社区（村、居）三级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监管网和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责任制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建设，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发挥好食品安全三级监管网作用。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.加强监管队伍培训，提高监管、检测的能力和水平。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</w:rPr>
        <w:t>（三）严格过程监管，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  <w:t>履行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</w:rPr>
        <w:t>监管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  <w:t>服务职</w:t>
      </w:r>
      <w:r>
        <w:rPr>
          <w:rFonts w:hint="eastAsia" w:eastAsia="楷体_GB2312" w:cs="Times New Roman"/>
          <w:bCs/>
          <w:sz w:val="32"/>
          <w:szCs w:val="32"/>
          <w:u w:val="none"/>
          <w:lang w:eastAsia="zh-CN"/>
        </w:rPr>
        <w:t>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落实农产品质量安全监管责任。加强食用农产品质量安全监管，实施农药减量增效、兽用抗菌药使用减量化行动，遏制农药兽药残留超标问题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推行食用农产品达标合格证制度，进一步加强食用农产品产地准出和市场准入管理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继续推进放心农产品工程实施；全面遏制重大农产品安全事件发生，切实保障农产品消费安全。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落实食品生产经营监管责任。严把食品生产经营许可关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加强食品安全监管，严格生产经营环节现场检查，科学划分食品生产经营风险等级，加强对高风险食品生产经营企业的监督检查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</w:rPr>
        <w:t>。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督促企业严格落实食品生产企业食品安全主体责任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食品安全自查义务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主动排查风险隐患。推进全市食用农产品集中交易市场管理规范化，严格落实食用农产品批发市场食品安全查验要求。实施餐饮质量安全提升行动。加强特殊食品生产企业监管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实施校园食品安全守护行动。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落实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上级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部署安排的冬奥会和冬残奥会食品安全保障任务。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</w:rPr>
        <w:t>（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  <w:t>四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</w:rPr>
        <w:t>）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  <w:t>严厉打击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</w:rPr>
        <w:t>违法犯罪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楷体_GB2312" w:cs="Times New Roman"/>
          <w:bCs/>
          <w:spacing w:val="-11"/>
          <w:sz w:val="32"/>
          <w:szCs w:val="32"/>
          <w:u w:val="none"/>
        </w:rPr>
        <w:t>落实“行刑衔接”</w:t>
      </w:r>
      <w:r>
        <w:rPr>
          <w:rFonts w:hint="eastAsia" w:ascii="Times New Roman" w:hAnsi="Times New Roman" w:eastAsia="楷体_GB2312" w:cs="Times New Roman"/>
          <w:bCs/>
          <w:spacing w:val="-11"/>
          <w:sz w:val="32"/>
          <w:szCs w:val="32"/>
          <w:u w:val="none"/>
          <w:lang w:eastAsia="zh-CN"/>
        </w:rPr>
        <w:t>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1.打击治理超范围超限量使用食品添加剂、使用工业明胶生产食品、使用工业酒精生产酒类食品、使用工业硫磺熏蒸食物、违法使用瘦肉精、食品制作过程中违法添加罂粟壳等物质、水产品中违法添加孔雀石绿等禁用物质、生产经营企业虚假标注生产日期和保质期、用回收食品作为原料生产食品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违法违规行为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严厉打击保健食品标签宣传欺诈等危害食品安全的“潜规则”和相关违法行为。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3.加强行政执法与刑事司法的衔接，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重点做好行政执法机关移送和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公安机关自主查办食品安全犯罪案件。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96" w:firstLineChars="200"/>
        <w:textAlignment w:val="auto"/>
        <w:rPr>
          <w:rFonts w:hint="default" w:ascii="华文行楷" w:hAnsi="华文行楷" w:eastAsia="华文行楷" w:cs="华文行楷"/>
          <w:b w:val="0"/>
          <w:bCs/>
          <w:sz w:val="24"/>
          <w:szCs w:val="24"/>
          <w:u w:val="none"/>
          <w:lang w:eastAsia="zh-CN"/>
        </w:rPr>
      </w:pPr>
      <w:r>
        <w:rPr>
          <w:rFonts w:hint="eastAsia" w:ascii="Times New Roman" w:hAnsi="Times New Roman" w:eastAsia="楷体_GB2312" w:cs="Times New Roman"/>
          <w:bCs/>
          <w:spacing w:val="-11"/>
          <w:sz w:val="32"/>
          <w:szCs w:val="32"/>
          <w:u w:val="none"/>
          <w:lang w:eastAsia="zh-CN"/>
        </w:rPr>
        <w:t>（五）</w:t>
      </w:r>
      <w:r>
        <w:rPr>
          <w:rFonts w:hint="default" w:ascii="Times New Roman" w:hAnsi="Times New Roman" w:eastAsia="楷体_GB2312" w:cs="Times New Roman"/>
          <w:bCs/>
          <w:spacing w:val="-11"/>
          <w:sz w:val="32"/>
          <w:szCs w:val="32"/>
          <w:u w:val="none"/>
        </w:rPr>
        <w:t>严格冷链食品</w:t>
      </w:r>
      <w:r>
        <w:rPr>
          <w:rFonts w:hint="eastAsia" w:ascii="Times New Roman" w:hAnsi="Times New Roman" w:eastAsia="楷体_GB2312" w:cs="Times New Roman"/>
          <w:bCs/>
          <w:spacing w:val="-11"/>
          <w:sz w:val="32"/>
          <w:szCs w:val="32"/>
          <w:u w:val="none"/>
          <w:lang w:eastAsia="zh-CN"/>
        </w:rPr>
        <w:t>和人员</w:t>
      </w:r>
      <w:r>
        <w:rPr>
          <w:rFonts w:hint="default" w:ascii="Times New Roman" w:hAnsi="Times New Roman" w:eastAsia="楷体_GB2312" w:cs="Times New Roman"/>
          <w:bCs/>
          <w:spacing w:val="-11"/>
          <w:sz w:val="32"/>
          <w:szCs w:val="32"/>
          <w:u w:val="none"/>
        </w:rPr>
        <w:t>管理</w:t>
      </w:r>
      <w:r>
        <w:rPr>
          <w:rFonts w:hint="eastAsia" w:ascii="Times New Roman" w:hAnsi="Times New Roman" w:eastAsia="楷体_GB2312" w:cs="Times New Roman"/>
          <w:bCs/>
          <w:spacing w:val="-11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楷体_GB2312" w:cs="Times New Roman"/>
          <w:bCs/>
          <w:spacing w:val="-11"/>
          <w:sz w:val="32"/>
          <w:szCs w:val="32"/>
          <w:u w:val="none"/>
        </w:rPr>
        <w:t>防控新冠肺炎疫情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落实市委、市政府关于实施民心工程工作要求，进一步优化完善冷链食品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加强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直接接触进口冷链食品的从业人员和监管人员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安全防护管理。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做好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部门间信息共享互通，防范新冠肺炎疫情输入风险。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华文行楷" w:hAnsi="华文行楷" w:eastAsia="华文行楷" w:cs="华文行楷"/>
          <w:b w:val="0"/>
          <w:bCs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</w:rPr>
        <w:t>（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  <w:t>六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</w:rPr>
        <w:t>）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  <w:t>开展食品安全风险监测，提升风险评估与监测能力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制定年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度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食品安全风险监测实施方案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加强食品相关产品质量安全风险监测，开展风险监测结果分析和通报会商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加强食源性疾病监测报告，开展食物消费量调查等评估基础工作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确定我区食品污染及食品有害因素的污染水平和趋势、危害因素的分布和可能来源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收集和分析食源性疾病的发病及流行趋势，发现食品安全隐患，掌握疾病来源，及时采取相应的风险管控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行楷" w:hAnsi="华文行楷" w:eastAsia="华文行楷" w:cs="华文行楷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</w:rPr>
        <w:t>（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  <w:t>七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</w:rPr>
        <w:t>）加大宣传培训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  <w:t>力度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</w:rPr>
        <w:t>，营造全社会关注的良好氛围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1.开展《食品安全法》《食安法实施条例》和《天津市食品生产加工小作坊和食品摊贩监督管理办法》(津政令 第26号）等食品安全相关法律法规的宣传普及工作。广泛宣传食品安全示范</w:t>
      </w:r>
      <w:r>
        <w:rPr>
          <w:rFonts w:hint="eastAsia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城市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创建工作内容，通过“食安东丽”微信公众号宣传创建工作取得的新进展、新成效。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2落实食品安全违法行为举报奖励工作，激励全社会积极主动参与食品安全监管工作。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3.推动年度民心工程落地。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行楷" w:hAnsi="华文行楷" w:eastAsia="华文行楷" w:cs="华文行楷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</w:rPr>
        <w:t>（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  <w:t>八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</w:rPr>
        <w:t>）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  <w:t>做好“双安双创”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  <w:lang w:eastAsia="zh-CN"/>
        </w:rPr>
        <w:t>示范引领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</w:rPr>
        <w:t>扎实推动食品安全示范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u w:val="none"/>
          <w:lang w:eastAsia="zh-CN"/>
        </w:rPr>
        <w:t>城市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none"/>
        </w:rPr>
        <w:t>创建工作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1.分层次、分步骤开展我区食品安全示范</w:t>
      </w:r>
      <w:r>
        <w:rPr>
          <w:rFonts w:hint="eastAsia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城市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创建工作，提升食品安全监管能力和社会共治水平。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2.邀请第三方机构专家有针对性的开展专题培训，进一步协调推动各相关单位研究细化本单位具体实施方案，对照职责任务，明确时间节点，细化工作措施。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3.做好各有关单位的协调沟通，按照创建工作标准要求，推动人员、经费、装备“三落实”。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行楷" w:hAnsi="华文行楷" w:eastAsia="华文行楷" w:cs="华文行楷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六、督查与考核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根据区委、区政府工作要求，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将食品安全纳入年度综合考核，组织对街道办事处、</w:t>
      </w:r>
      <w:r>
        <w:rPr>
          <w:rFonts w:hint="eastAsia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园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区管委会和区相关部门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食品安全工作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年度绩效考核。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华文行楷" w:hAnsi="华文行楷" w:eastAsia="华文行楷" w:cs="华文行楷"/>
          <w:b w:val="0"/>
          <w:bCs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七、食品安全经费保障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落实本监管计划产生的经费，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由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相关职能部门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  <w:lang w:eastAsia="zh-CN"/>
        </w:rPr>
        <w:t>分别向区财政提出食品安全专项经费申请，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u w:val="none"/>
        </w:rPr>
        <w:t>区财政保障。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-247015</wp:posOffset>
              </wp:positionV>
              <wp:extent cx="810895" cy="3848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0895" cy="384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45pt;height:30.3pt;width:63.85pt;mso-position-horizontal:outside;mso-position-horizontal-relative:margin;z-index:251658240;mso-width-relative:page;mso-height-relative:page;" filled="f" stroked="f" coordsize="21600,21600" o:gfxdata="UEsDBAoAAAAAAIdO4kAAAAAAAAAAAAAAAAAEAAAAZHJzL1BLAwQUAAAACACHTuJAS7mmdNYAAAAH&#10;AQAADwAAAGRycy9kb3ducmV2LnhtbE2Py07DMBRE90j8g3WR2LV2gkRKyE0XPHY8Smkl2DnxJYnw&#10;I7KdtPw97gqWoxnNnKnWR6PZTD4MziJkSwGMbOvUYDuE3fvjYgUsRGmV1M4Swg8FWNfnZ5UslTvY&#10;N5q3sWOpxIZSIvQxjiXnoe3JyLB0I9nkfTlvZEzSd1x5eUjlRvNciGtu5GDTQi9Huuup/d5OBkF/&#10;BP/UiPg533fPcfPKp/1D9oJ4eZGJW2CRjvEvDCf8hA51YmrcZFVgGiEdiQiLq9UNsJOdFwWwBiHP&#10;CuB1xf/z179QSwMEFAAAAAgAh07iQOfsAy4aAgAAEwQAAA4AAABkcnMvZTJvRG9jLnhtbK1TwY7T&#10;MBC9I/EPlu806S67KlHTVdlVEVLFrlQQZ9exG0uOx9huk/IB8Aec9sKd7+p3MHaSLgJOiIszmRnP&#10;zHvzPL/pGk0OwnkFpqTTSU6JMBwqZXYl/fB+9WJGiQ/MVEyDESU9Ck9vFs+fzVtbiAuoQVfCESxi&#10;fNHaktYh2CLLPK9Fw/wErDAYlOAaFvDX7bLKsRarNzq7yPPrrAVXWQdceI/euz5IF6m+lIKHeym9&#10;CESXFGcL6XTp3MYzW8xZsXPM1ooPY7B/mKJhymDTc6k7FhjZO/VHqUZxBx5kmHBoMpBScZEwIJpp&#10;/huaTc2sSFiQHG/PNPn/V5a/Ozw4oircHSWGNbii07evp8cfp+9fyDTS01pfYNbGYl7oXkMXUwe/&#10;R2dE3UnXxC/iIRhHoo9nckUXCEfnbJrPXl1RwjF0OXuJv7FK9nTZOh/eCGhINErqcHeJUnZY+9Cn&#10;jimxl4GV0hr9rNCGtCW9vrzK04VzBItrgz0ihH7UaIVu2w3zb6E6IiwHvS685SuFzdfMhwfmUAiI&#10;BMUd7vGQGrAJDBYlNbjPf/PHfNwPRilpUVgl9Z/2zAlK9FuDm4sqHA03GtvRMPvmFlCruA2cJpl4&#10;wQU9mtJB8xE1v4xdMMQMx14lDaN5G3p545vhYrlMSXvr1K7uL6DuLAtrs7E8tumpXO4DSJVYjhT1&#10;vAzMofLSnoZXEqX963/KenrLi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LuaZ01gAAAAcBAAAP&#10;AAAAAAAAAAEAIAAAACIAAABkcnMvZG93bnJldi54bWxQSwECFAAUAAAACACHTuJA5+wDLhoCAAAT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B67C4"/>
    <w:rsid w:val="080212A4"/>
    <w:rsid w:val="084A03B4"/>
    <w:rsid w:val="08766D61"/>
    <w:rsid w:val="131B67C4"/>
    <w:rsid w:val="139F2427"/>
    <w:rsid w:val="1499525E"/>
    <w:rsid w:val="17350AC3"/>
    <w:rsid w:val="1A982CBF"/>
    <w:rsid w:val="1BDE7F62"/>
    <w:rsid w:val="1D500A71"/>
    <w:rsid w:val="1D6971F7"/>
    <w:rsid w:val="1FA77B74"/>
    <w:rsid w:val="22DF3FE1"/>
    <w:rsid w:val="22F60807"/>
    <w:rsid w:val="252703FC"/>
    <w:rsid w:val="29D94789"/>
    <w:rsid w:val="2A582580"/>
    <w:rsid w:val="30AB1FBD"/>
    <w:rsid w:val="33DB0984"/>
    <w:rsid w:val="3CCF4036"/>
    <w:rsid w:val="401B7C49"/>
    <w:rsid w:val="402D58D6"/>
    <w:rsid w:val="4033104A"/>
    <w:rsid w:val="4543128F"/>
    <w:rsid w:val="45D54684"/>
    <w:rsid w:val="47D73ED9"/>
    <w:rsid w:val="4E180FCA"/>
    <w:rsid w:val="4F0602FD"/>
    <w:rsid w:val="50F4379B"/>
    <w:rsid w:val="575E75B4"/>
    <w:rsid w:val="59D475FC"/>
    <w:rsid w:val="5A413AF7"/>
    <w:rsid w:val="5E741CE4"/>
    <w:rsid w:val="61600D5A"/>
    <w:rsid w:val="617C7AE2"/>
    <w:rsid w:val="6290168A"/>
    <w:rsid w:val="636B465A"/>
    <w:rsid w:val="6CD446C1"/>
    <w:rsid w:val="6E380464"/>
    <w:rsid w:val="6F8E091A"/>
    <w:rsid w:val="716828CE"/>
    <w:rsid w:val="73E52604"/>
    <w:rsid w:val="7B286850"/>
    <w:rsid w:val="7D0D227E"/>
    <w:rsid w:val="7DDD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2021-12-14T08:29:00Z</dcterms:created>
  <dc:creator>Administrator</dc:creator>
  <cp:lastModifiedBy>Administrator</cp:lastModifiedBy>
  <cp:lastPrinted>2021-12-16T04:51:11Z</cp:lastPrinted>
  <dcterms:modified xsi:type="dcterms:W3CDTF">2021-12-16T04:56:47Z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